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2B0" w:rsidRDefault="009B22B0" w:rsidP="009967D6">
      <w:pPr>
        <w:bidi w:val="0"/>
        <w:jc w:val="center"/>
      </w:pPr>
      <w:r>
        <w:t xml:space="preserve">Chapter </w:t>
      </w:r>
      <w:r w:rsidR="00461B79">
        <w:t>One</w:t>
      </w:r>
    </w:p>
    <w:p w:rsidR="00461B79" w:rsidRDefault="00461B79" w:rsidP="00461B79">
      <w:pPr>
        <w:bidi w:val="0"/>
        <w:jc w:val="center"/>
      </w:pPr>
    </w:p>
    <w:p w:rsidR="00461B79" w:rsidRPr="00461B79" w:rsidRDefault="00461B79" w:rsidP="00E47B8C">
      <w:pPr>
        <w:bidi w:val="0"/>
        <w:jc w:val="center"/>
        <w:rPr>
          <w:b/>
          <w:bCs/>
          <w:sz w:val="28"/>
          <w:szCs w:val="28"/>
        </w:rPr>
      </w:pPr>
      <w:r w:rsidRPr="00461B79">
        <w:rPr>
          <w:b/>
          <w:bCs/>
          <w:sz w:val="28"/>
          <w:szCs w:val="28"/>
        </w:rPr>
        <w:t>Main Findings</w:t>
      </w:r>
    </w:p>
    <w:p w:rsidR="00461B79" w:rsidRPr="00A01641" w:rsidRDefault="00461B79" w:rsidP="00461B79">
      <w:pPr>
        <w:pStyle w:val="Heading2"/>
        <w:rPr>
          <w:sz w:val="24"/>
          <w:szCs w:val="24"/>
        </w:rPr>
      </w:pPr>
    </w:p>
    <w:p w:rsidR="00461B79" w:rsidRPr="009D6C98" w:rsidRDefault="000C58FD" w:rsidP="00D27235">
      <w:pPr>
        <w:bidi w:val="0"/>
        <w:jc w:val="lowKashida"/>
        <w:rPr>
          <w:b/>
          <w:bCs/>
          <w:color w:val="000000" w:themeColor="text1"/>
        </w:rPr>
      </w:pPr>
      <w:r w:rsidRPr="009D6C98">
        <w:rPr>
          <w:b/>
          <w:bCs/>
          <w:color w:val="000000" w:themeColor="text1"/>
        </w:rPr>
        <w:t>1.1</w:t>
      </w:r>
      <w:r w:rsidR="00461B79" w:rsidRPr="009D6C98">
        <w:rPr>
          <w:b/>
          <w:bCs/>
          <w:color w:val="000000" w:themeColor="text1"/>
        </w:rPr>
        <w:t xml:space="preserve"> Basic National Accounts</w:t>
      </w:r>
    </w:p>
    <w:p w:rsidR="00461B79" w:rsidRDefault="00461B79" w:rsidP="002C6BA5">
      <w:pPr>
        <w:bidi w:val="0"/>
        <w:jc w:val="lowKashida"/>
        <w:rPr>
          <w:color w:val="000000" w:themeColor="text1"/>
          <w:lang w:eastAsia="en-US"/>
        </w:rPr>
      </w:pPr>
      <w:r w:rsidRPr="009D6C98">
        <w:rPr>
          <w:color w:val="000000" w:themeColor="text1"/>
        </w:rPr>
        <w:t xml:space="preserve">The final findings of the </w:t>
      </w:r>
      <w:r w:rsidR="008504EA">
        <w:rPr>
          <w:color w:val="000000" w:themeColor="text1"/>
        </w:rPr>
        <w:t>N</w:t>
      </w:r>
      <w:r w:rsidRPr="009D6C98">
        <w:rPr>
          <w:color w:val="000000" w:themeColor="text1"/>
        </w:rPr>
        <w:t xml:space="preserve">ational </w:t>
      </w:r>
      <w:r w:rsidR="008504EA">
        <w:rPr>
          <w:color w:val="000000" w:themeColor="text1"/>
        </w:rPr>
        <w:t>A</w:t>
      </w:r>
      <w:r w:rsidRPr="009D6C98">
        <w:rPr>
          <w:color w:val="000000" w:themeColor="text1"/>
        </w:rPr>
        <w:t xml:space="preserve">ccounts at constant prices </w:t>
      </w:r>
      <w:r w:rsidR="00957F97" w:rsidRPr="009D6C98">
        <w:rPr>
          <w:color w:val="000000" w:themeColor="text1"/>
        </w:rPr>
        <w:t xml:space="preserve">for </w:t>
      </w:r>
      <w:r w:rsidR="00F760CE">
        <w:rPr>
          <w:color w:val="000000" w:themeColor="text1"/>
        </w:rPr>
        <w:t>2013</w:t>
      </w:r>
      <w:r w:rsidRPr="009D6C98">
        <w:rPr>
          <w:color w:val="000000" w:themeColor="text1"/>
        </w:rPr>
        <w:t xml:space="preserve"> show</w:t>
      </w:r>
      <w:r w:rsidR="0087764A" w:rsidRPr="009D6C98">
        <w:rPr>
          <w:color w:val="000000" w:themeColor="text1"/>
        </w:rPr>
        <w:t xml:space="preserve"> a </w:t>
      </w:r>
      <w:r w:rsidRPr="009D6C98">
        <w:rPr>
          <w:color w:val="000000" w:themeColor="text1"/>
        </w:rPr>
        <w:t xml:space="preserve">general growth in the value of </w:t>
      </w:r>
      <w:r w:rsidR="005E5EFB">
        <w:rPr>
          <w:color w:val="000000" w:themeColor="text1"/>
        </w:rPr>
        <w:t>Gross Domestic Product (</w:t>
      </w:r>
      <w:r w:rsidRPr="009D6C98">
        <w:rPr>
          <w:color w:val="000000" w:themeColor="text1"/>
        </w:rPr>
        <w:t>GDP</w:t>
      </w:r>
      <w:r w:rsidR="005E5EFB">
        <w:rPr>
          <w:color w:val="000000" w:themeColor="text1"/>
        </w:rPr>
        <w:t>)</w:t>
      </w:r>
      <w:r w:rsidR="005E4004" w:rsidRPr="009D6C98">
        <w:rPr>
          <w:color w:val="000000" w:themeColor="text1"/>
        </w:rPr>
        <w:t>,</w:t>
      </w:r>
      <w:r w:rsidRPr="009D6C98">
        <w:rPr>
          <w:color w:val="000000" w:themeColor="text1"/>
        </w:rPr>
        <w:t xml:space="preserve"> </w:t>
      </w:r>
      <w:r w:rsidR="005E5EFB">
        <w:rPr>
          <w:color w:val="000000" w:themeColor="text1"/>
        </w:rPr>
        <w:t>Gross National Income (</w:t>
      </w:r>
      <w:r w:rsidRPr="009D6C98">
        <w:rPr>
          <w:color w:val="000000" w:themeColor="text1"/>
        </w:rPr>
        <w:t>GNI</w:t>
      </w:r>
      <w:r w:rsidR="005E5EFB">
        <w:rPr>
          <w:color w:val="000000" w:themeColor="text1"/>
        </w:rPr>
        <w:t>)</w:t>
      </w:r>
      <w:r w:rsidRPr="009D6C98">
        <w:rPr>
          <w:color w:val="000000" w:themeColor="text1"/>
        </w:rPr>
        <w:t xml:space="preserve"> </w:t>
      </w:r>
      <w:r w:rsidR="0087764A" w:rsidRPr="009D6C98">
        <w:rPr>
          <w:color w:val="000000" w:themeColor="text1"/>
        </w:rPr>
        <w:t xml:space="preserve">and </w:t>
      </w:r>
      <w:r w:rsidR="005E5EFB">
        <w:rPr>
          <w:color w:val="000000" w:themeColor="text1"/>
        </w:rPr>
        <w:t>Gross National Disposable Income (</w:t>
      </w:r>
      <w:r w:rsidR="00957F97" w:rsidRPr="009D6C98">
        <w:rPr>
          <w:color w:val="000000" w:themeColor="text1"/>
        </w:rPr>
        <w:t>GNDI</w:t>
      </w:r>
      <w:r w:rsidR="005E5EFB">
        <w:rPr>
          <w:color w:val="000000" w:themeColor="text1"/>
        </w:rPr>
        <w:t>)</w:t>
      </w:r>
      <w:r w:rsidR="00957F97" w:rsidRPr="009D6C98">
        <w:rPr>
          <w:color w:val="000000" w:themeColor="text1"/>
        </w:rPr>
        <w:t xml:space="preserve">.  </w:t>
      </w:r>
      <w:r w:rsidRPr="009D6C98">
        <w:rPr>
          <w:color w:val="000000" w:themeColor="text1"/>
        </w:rPr>
        <w:t xml:space="preserve">GDP in </w:t>
      </w:r>
      <w:r w:rsidR="00A56942" w:rsidRPr="009D6C98">
        <w:rPr>
          <w:color w:val="000000" w:themeColor="text1"/>
        </w:rPr>
        <w:t>Palestine at</w:t>
      </w:r>
      <w:r w:rsidR="00957F97" w:rsidRPr="009D6C98">
        <w:rPr>
          <w:color w:val="000000" w:themeColor="text1"/>
        </w:rPr>
        <w:t xml:space="preserve"> constant prices </w:t>
      </w:r>
      <w:r w:rsidR="00EC05AF" w:rsidRPr="009D6C98">
        <w:rPr>
          <w:color w:val="000000" w:themeColor="text1"/>
          <w:lang w:eastAsia="en-US"/>
        </w:rPr>
        <w:t>was USD</w:t>
      </w:r>
      <w:r w:rsidRPr="009D6C98">
        <w:rPr>
          <w:color w:val="000000" w:themeColor="text1"/>
        </w:rPr>
        <w:t xml:space="preserve"> </w:t>
      </w:r>
      <w:r w:rsidR="00A67754">
        <w:rPr>
          <w:rFonts w:cs="Simplified Arabic"/>
          <w:color w:val="000000" w:themeColor="text1"/>
        </w:rPr>
        <w:t>7</w:t>
      </w:r>
      <w:r w:rsidR="002767BA" w:rsidRPr="009D6C98">
        <w:rPr>
          <w:rFonts w:cs="Simplified Arabic"/>
          <w:color w:val="000000" w:themeColor="text1"/>
        </w:rPr>
        <w:t>,</w:t>
      </w:r>
      <w:r w:rsidR="00186D9B">
        <w:rPr>
          <w:rFonts w:cs="Simplified Arabic"/>
          <w:color w:val="000000" w:themeColor="text1"/>
        </w:rPr>
        <w:t>477</w:t>
      </w:r>
      <w:r w:rsidR="002767BA" w:rsidRPr="009D6C98">
        <w:rPr>
          <w:color w:val="000000" w:themeColor="text1"/>
          <w:lang w:eastAsia="en-US"/>
        </w:rPr>
        <w:t xml:space="preserve"> </w:t>
      </w:r>
      <w:r w:rsidRPr="009D6C98">
        <w:rPr>
          <w:color w:val="000000" w:themeColor="text1"/>
          <w:lang w:eastAsia="en-US"/>
        </w:rPr>
        <w:t xml:space="preserve">million during </w:t>
      </w:r>
      <w:r w:rsidR="00F760CE">
        <w:rPr>
          <w:color w:val="000000" w:themeColor="text1"/>
          <w:lang w:eastAsia="en-US"/>
        </w:rPr>
        <w:t>2013</w:t>
      </w:r>
      <w:r w:rsidR="008504EA">
        <w:rPr>
          <w:color w:val="000000" w:themeColor="text1"/>
          <w:lang w:eastAsia="en-US"/>
        </w:rPr>
        <w:t>,</w:t>
      </w:r>
      <w:r w:rsidRPr="009D6C98">
        <w:rPr>
          <w:color w:val="000000" w:themeColor="text1"/>
          <w:lang w:eastAsia="en-US"/>
        </w:rPr>
        <w:t xml:space="preserve"> reflecting an increase of </w:t>
      </w:r>
      <w:r w:rsidR="00186D9B">
        <w:rPr>
          <w:color w:val="000000" w:themeColor="text1"/>
          <w:lang w:eastAsia="en-US"/>
        </w:rPr>
        <w:t>2.2</w:t>
      </w:r>
      <w:r w:rsidRPr="009D6C98">
        <w:rPr>
          <w:color w:val="000000" w:themeColor="text1"/>
          <w:lang w:eastAsia="en-US"/>
        </w:rPr>
        <w:t xml:space="preserve">% compared </w:t>
      </w:r>
      <w:r w:rsidR="008504EA">
        <w:rPr>
          <w:color w:val="000000" w:themeColor="text1"/>
          <w:lang w:eastAsia="en-US"/>
        </w:rPr>
        <w:t>with</w:t>
      </w:r>
      <w:r w:rsidRPr="009D6C98">
        <w:rPr>
          <w:color w:val="000000" w:themeColor="text1"/>
          <w:lang w:eastAsia="en-US"/>
        </w:rPr>
        <w:t xml:space="preserve"> </w:t>
      </w:r>
      <w:r w:rsidR="00F760CE">
        <w:rPr>
          <w:color w:val="000000" w:themeColor="text1"/>
          <w:lang w:eastAsia="en-US"/>
        </w:rPr>
        <w:t>2012</w:t>
      </w:r>
      <w:r w:rsidRPr="009D6C98">
        <w:rPr>
          <w:color w:val="000000" w:themeColor="text1"/>
          <w:lang w:eastAsia="en-US"/>
        </w:rPr>
        <w:t xml:space="preserve">. GDP per capita </w:t>
      </w:r>
      <w:r w:rsidR="000F13E4" w:rsidRPr="009D6C98">
        <w:rPr>
          <w:color w:val="000000" w:themeColor="text1"/>
          <w:lang w:eastAsia="en-US"/>
        </w:rPr>
        <w:t>was</w:t>
      </w:r>
      <w:r w:rsidRPr="009D6C98">
        <w:rPr>
          <w:color w:val="000000" w:themeColor="text1"/>
          <w:lang w:eastAsia="en-US"/>
        </w:rPr>
        <w:t xml:space="preserve"> </w:t>
      </w:r>
      <w:r w:rsidR="00EC05AF" w:rsidRPr="009D6C98">
        <w:rPr>
          <w:rFonts w:cs="Simplified Arabic"/>
          <w:color w:val="000000" w:themeColor="text1"/>
          <w:lang w:val="en-GB"/>
        </w:rPr>
        <w:t>USD</w:t>
      </w:r>
      <w:r w:rsidRPr="009D6C98">
        <w:rPr>
          <w:rFonts w:cs="Simplified Arabic"/>
          <w:color w:val="000000" w:themeColor="text1"/>
        </w:rPr>
        <w:t xml:space="preserve"> </w:t>
      </w:r>
      <w:r w:rsidR="00A67754">
        <w:rPr>
          <w:rFonts w:cs="Simplified Arabic"/>
          <w:color w:val="000000" w:themeColor="text1"/>
        </w:rPr>
        <w:t>1</w:t>
      </w:r>
      <w:r w:rsidR="009D6C98" w:rsidRPr="009D6C98">
        <w:rPr>
          <w:rFonts w:cs="Simplified Arabic"/>
          <w:color w:val="000000" w:themeColor="text1"/>
        </w:rPr>
        <w:t>,</w:t>
      </w:r>
      <w:r w:rsidR="00186D9B">
        <w:rPr>
          <w:rFonts w:cs="Simplified Arabic"/>
          <w:color w:val="000000" w:themeColor="text1"/>
        </w:rPr>
        <w:t>793</w:t>
      </w:r>
      <w:r w:rsidR="002610DD">
        <w:rPr>
          <w:rFonts w:cs="Simplified Arabic"/>
          <w:color w:val="000000" w:themeColor="text1"/>
        </w:rPr>
        <w:t xml:space="preserve"> </w:t>
      </w:r>
      <w:r w:rsidRPr="009D6C98">
        <w:rPr>
          <w:color w:val="000000" w:themeColor="text1"/>
          <w:lang w:eastAsia="en-US"/>
        </w:rPr>
        <w:t xml:space="preserve">during </w:t>
      </w:r>
      <w:r w:rsidR="00F760CE">
        <w:rPr>
          <w:color w:val="000000" w:themeColor="text1"/>
          <w:lang w:eastAsia="en-US"/>
        </w:rPr>
        <w:t>2013</w:t>
      </w:r>
      <w:r w:rsidR="00454C8F">
        <w:rPr>
          <w:color w:val="000000" w:themeColor="text1"/>
          <w:lang w:eastAsia="en-US"/>
        </w:rPr>
        <w:t xml:space="preserve"> </w:t>
      </w:r>
      <w:r w:rsidR="002C6BA5">
        <w:rPr>
          <w:color w:val="000000" w:themeColor="text1"/>
          <w:lang w:eastAsia="en-US"/>
        </w:rPr>
        <w:t xml:space="preserve">with </w:t>
      </w:r>
      <w:r w:rsidR="00454C8F">
        <w:rPr>
          <w:color w:val="000000" w:themeColor="text1"/>
          <w:lang w:eastAsia="en-US"/>
        </w:rPr>
        <w:t>a</w:t>
      </w:r>
      <w:r w:rsidRPr="009D6C98">
        <w:rPr>
          <w:color w:val="000000" w:themeColor="text1"/>
          <w:lang w:eastAsia="en-US"/>
        </w:rPr>
        <w:t xml:space="preserve"> </w:t>
      </w:r>
      <w:r w:rsidR="00186D9B">
        <w:rPr>
          <w:color w:val="000000" w:themeColor="text1"/>
          <w:lang w:eastAsia="en-US"/>
        </w:rPr>
        <w:t>de</w:t>
      </w:r>
      <w:r w:rsidRPr="009D6C98">
        <w:rPr>
          <w:color w:val="000000" w:themeColor="text1"/>
          <w:lang w:eastAsia="en-US"/>
        </w:rPr>
        <w:t xml:space="preserve">crease of </w:t>
      </w:r>
      <w:r w:rsidR="00186D9B">
        <w:rPr>
          <w:color w:val="000000" w:themeColor="text1"/>
          <w:lang w:eastAsia="en-US"/>
        </w:rPr>
        <w:t>0.8</w:t>
      </w:r>
      <w:r w:rsidRPr="009D6C98">
        <w:rPr>
          <w:color w:val="000000" w:themeColor="text1"/>
          <w:lang w:eastAsia="en-US"/>
        </w:rPr>
        <w:t xml:space="preserve">% compared </w:t>
      </w:r>
      <w:r w:rsidR="008504EA">
        <w:rPr>
          <w:color w:val="000000" w:themeColor="text1"/>
          <w:lang w:eastAsia="en-US"/>
        </w:rPr>
        <w:t>with</w:t>
      </w:r>
      <w:r w:rsidRPr="009D6C98">
        <w:rPr>
          <w:color w:val="000000" w:themeColor="text1"/>
          <w:lang w:eastAsia="en-US"/>
        </w:rPr>
        <w:t xml:space="preserve"> </w:t>
      </w:r>
      <w:r w:rsidR="000F13E4" w:rsidRPr="009D6C98">
        <w:rPr>
          <w:color w:val="000000" w:themeColor="text1"/>
          <w:lang w:eastAsia="en-US"/>
        </w:rPr>
        <w:t xml:space="preserve">the </w:t>
      </w:r>
      <w:r w:rsidRPr="009D6C98">
        <w:rPr>
          <w:color w:val="000000" w:themeColor="text1"/>
          <w:lang w:eastAsia="en-US"/>
        </w:rPr>
        <w:t xml:space="preserve">previous year. </w:t>
      </w:r>
    </w:p>
    <w:p w:rsidR="009967D6" w:rsidRPr="00A01641" w:rsidRDefault="009967D6" w:rsidP="009967D6">
      <w:pPr>
        <w:bidi w:val="0"/>
        <w:jc w:val="lowKashida"/>
        <w:rPr>
          <w:color w:val="000000" w:themeColor="text1"/>
          <w:sz w:val="20"/>
          <w:szCs w:val="20"/>
        </w:rPr>
      </w:pPr>
    </w:p>
    <w:p w:rsidR="00930E59" w:rsidRPr="007D58D2" w:rsidRDefault="00930E59" w:rsidP="00C8087B">
      <w:pPr>
        <w:bidi w:val="0"/>
        <w:jc w:val="lowKashida"/>
        <w:rPr>
          <w:color w:val="000000" w:themeColor="text1"/>
          <w:lang w:eastAsia="en-US"/>
        </w:rPr>
      </w:pPr>
      <w:r w:rsidRPr="007D58D2">
        <w:rPr>
          <w:color w:val="000000" w:themeColor="text1"/>
        </w:rPr>
        <w:t>G</w:t>
      </w:r>
      <w:r w:rsidR="009967D6">
        <w:rPr>
          <w:color w:val="000000" w:themeColor="text1"/>
        </w:rPr>
        <w:t>NI</w:t>
      </w:r>
      <w:r w:rsidRPr="007D58D2">
        <w:rPr>
          <w:color w:val="000000" w:themeColor="text1"/>
        </w:rPr>
        <w:t xml:space="preserve"> at constant prices in Palestine for </w:t>
      </w:r>
      <w:r w:rsidR="00F760CE">
        <w:rPr>
          <w:color w:val="000000" w:themeColor="text1"/>
        </w:rPr>
        <w:t>2013</w:t>
      </w:r>
      <w:r w:rsidRPr="007D58D2">
        <w:rPr>
          <w:color w:val="000000" w:themeColor="text1"/>
        </w:rPr>
        <w:t xml:space="preserve"> was USD </w:t>
      </w:r>
      <w:r w:rsidR="00065BA0">
        <w:rPr>
          <w:color w:val="000000" w:themeColor="text1"/>
        </w:rPr>
        <w:t>8</w:t>
      </w:r>
      <w:r w:rsidRPr="007D58D2">
        <w:rPr>
          <w:color w:val="000000" w:themeColor="text1"/>
        </w:rPr>
        <w:t>,</w:t>
      </w:r>
      <w:r w:rsidR="00C8087B">
        <w:rPr>
          <w:color w:val="000000" w:themeColor="text1"/>
        </w:rPr>
        <w:t>068</w:t>
      </w:r>
      <w:r w:rsidR="00C57916">
        <w:rPr>
          <w:color w:val="000000" w:themeColor="text1"/>
        </w:rPr>
        <w:t xml:space="preserve"> </w:t>
      </w:r>
      <w:r w:rsidRPr="007D58D2">
        <w:rPr>
          <w:color w:val="000000" w:themeColor="text1"/>
        </w:rPr>
        <w:t>million</w:t>
      </w:r>
      <w:r w:rsidR="00921D12">
        <w:rPr>
          <w:color w:val="000000" w:themeColor="text1"/>
        </w:rPr>
        <w:t>,</w:t>
      </w:r>
      <w:r w:rsidRPr="007D58D2">
        <w:rPr>
          <w:color w:val="000000" w:themeColor="text1"/>
        </w:rPr>
        <w:t xml:space="preserve"> </w:t>
      </w:r>
      <w:r w:rsidR="00921D12">
        <w:rPr>
          <w:color w:val="000000" w:themeColor="text1"/>
        </w:rPr>
        <w:t>marking</w:t>
      </w:r>
      <w:r w:rsidRPr="007D58D2">
        <w:rPr>
          <w:color w:val="000000" w:themeColor="text1"/>
        </w:rPr>
        <w:t xml:space="preserve"> an increase </w:t>
      </w:r>
      <w:r w:rsidR="00BB07AE">
        <w:rPr>
          <w:color w:val="000000" w:themeColor="text1"/>
        </w:rPr>
        <w:t xml:space="preserve">of </w:t>
      </w:r>
      <w:r w:rsidR="00454C8F">
        <w:rPr>
          <w:color w:val="000000" w:themeColor="text1"/>
        </w:rPr>
        <w:t>3.6</w:t>
      </w:r>
      <w:r w:rsidRPr="007D58D2">
        <w:rPr>
          <w:color w:val="000000" w:themeColor="text1"/>
        </w:rPr>
        <w:t xml:space="preserve">% compared with </w:t>
      </w:r>
      <w:r w:rsidR="00F760CE">
        <w:rPr>
          <w:color w:val="000000" w:themeColor="text1"/>
        </w:rPr>
        <w:t>2012</w:t>
      </w:r>
      <w:r w:rsidR="00BB07AE">
        <w:rPr>
          <w:color w:val="000000" w:themeColor="text1"/>
        </w:rPr>
        <w:t>;</w:t>
      </w:r>
      <w:r w:rsidRPr="007D58D2">
        <w:rPr>
          <w:color w:val="000000" w:themeColor="text1"/>
        </w:rPr>
        <w:t xml:space="preserve"> GNI per capita was USD 1,9</w:t>
      </w:r>
      <w:r w:rsidR="00065BA0">
        <w:rPr>
          <w:color w:val="000000" w:themeColor="text1"/>
        </w:rPr>
        <w:t>3</w:t>
      </w:r>
      <w:r w:rsidR="00130C20" w:rsidRPr="007D58D2">
        <w:rPr>
          <w:color w:val="000000" w:themeColor="text1"/>
        </w:rPr>
        <w:t>5</w:t>
      </w:r>
      <w:r w:rsidR="00BB07AE">
        <w:rPr>
          <w:color w:val="000000" w:themeColor="text1"/>
        </w:rPr>
        <w:t>,</w:t>
      </w:r>
      <w:r w:rsidR="00407D44" w:rsidRPr="007D58D2">
        <w:rPr>
          <w:color w:val="000000" w:themeColor="text1"/>
        </w:rPr>
        <w:t xml:space="preserve"> reflecting an increase </w:t>
      </w:r>
      <w:r w:rsidR="00065BA0">
        <w:rPr>
          <w:color w:val="000000" w:themeColor="text1"/>
        </w:rPr>
        <w:t>0.5</w:t>
      </w:r>
      <w:r w:rsidR="00407D44" w:rsidRPr="007D58D2">
        <w:rPr>
          <w:color w:val="000000" w:themeColor="text1"/>
        </w:rPr>
        <w:t xml:space="preserve">% compared with </w:t>
      </w:r>
      <w:r w:rsidR="00F760CE">
        <w:rPr>
          <w:color w:val="000000" w:themeColor="text1"/>
        </w:rPr>
        <w:t>2012</w:t>
      </w:r>
      <w:r w:rsidR="00407D44" w:rsidRPr="007D58D2">
        <w:rPr>
          <w:color w:val="000000" w:themeColor="text1"/>
        </w:rPr>
        <w:t xml:space="preserve">. </w:t>
      </w:r>
      <w:r w:rsidR="00407D44" w:rsidRPr="007D58D2">
        <w:rPr>
          <w:color w:val="000000" w:themeColor="text1"/>
          <w:lang w:eastAsia="en-US"/>
        </w:rPr>
        <w:t>GNDI was USD 8,</w:t>
      </w:r>
      <w:r w:rsidR="00C8087B">
        <w:rPr>
          <w:color w:val="000000" w:themeColor="text1"/>
          <w:lang w:eastAsia="en-US"/>
        </w:rPr>
        <w:t>767</w:t>
      </w:r>
      <w:r w:rsidR="00407D44" w:rsidRPr="007D58D2">
        <w:rPr>
          <w:color w:val="000000" w:themeColor="text1"/>
          <w:lang w:eastAsia="en-US"/>
        </w:rPr>
        <w:t xml:space="preserve"> million during </w:t>
      </w:r>
      <w:r w:rsidR="00F760CE">
        <w:rPr>
          <w:color w:val="000000" w:themeColor="text1"/>
          <w:lang w:eastAsia="en-US"/>
        </w:rPr>
        <w:t>2013</w:t>
      </w:r>
      <w:r w:rsidR="00454C8F">
        <w:rPr>
          <w:color w:val="000000" w:themeColor="text1"/>
          <w:lang w:eastAsia="en-US"/>
        </w:rPr>
        <w:t xml:space="preserve"> with a</w:t>
      </w:r>
      <w:r w:rsidR="00407D44" w:rsidRPr="007D58D2">
        <w:rPr>
          <w:color w:val="000000" w:themeColor="text1"/>
          <w:lang w:eastAsia="en-US"/>
        </w:rPr>
        <w:t xml:space="preserve"> </w:t>
      </w:r>
      <w:r w:rsidR="002565E3">
        <w:rPr>
          <w:color w:val="000000" w:themeColor="text1"/>
          <w:lang w:eastAsia="en-US"/>
        </w:rPr>
        <w:t>de</w:t>
      </w:r>
      <w:r w:rsidR="00407D44" w:rsidRPr="007D58D2">
        <w:rPr>
          <w:color w:val="000000" w:themeColor="text1"/>
          <w:lang w:eastAsia="en-US"/>
        </w:rPr>
        <w:t xml:space="preserve">crease of </w:t>
      </w:r>
      <w:r w:rsidR="00454C8F">
        <w:rPr>
          <w:color w:val="000000" w:themeColor="text1"/>
          <w:lang w:eastAsia="en-US"/>
        </w:rPr>
        <w:t>1.</w:t>
      </w:r>
      <w:r w:rsidR="00C8087B">
        <w:rPr>
          <w:color w:val="000000" w:themeColor="text1"/>
          <w:lang w:eastAsia="en-US"/>
        </w:rPr>
        <w:t>0</w:t>
      </w:r>
      <w:r w:rsidR="00407D44" w:rsidRPr="007D58D2">
        <w:rPr>
          <w:color w:val="000000" w:themeColor="text1"/>
          <w:lang w:eastAsia="en-US"/>
        </w:rPr>
        <w:t xml:space="preserve">% compared with </w:t>
      </w:r>
      <w:r w:rsidR="00F760CE">
        <w:rPr>
          <w:color w:val="000000" w:themeColor="text1"/>
          <w:lang w:eastAsia="en-US"/>
        </w:rPr>
        <w:t>2012</w:t>
      </w:r>
      <w:r w:rsidR="00BB0F82" w:rsidRPr="007D58D2">
        <w:rPr>
          <w:color w:val="000000" w:themeColor="text1"/>
          <w:lang w:eastAsia="en-US"/>
        </w:rPr>
        <w:t xml:space="preserve">, </w:t>
      </w:r>
      <w:r w:rsidR="00BB07AE">
        <w:rPr>
          <w:color w:val="000000" w:themeColor="text1"/>
          <w:lang w:eastAsia="en-US"/>
        </w:rPr>
        <w:t>while</w:t>
      </w:r>
      <w:r w:rsidR="00BB0F82" w:rsidRPr="007D58D2">
        <w:rPr>
          <w:color w:val="000000" w:themeColor="text1"/>
          <w:lang w:eastAsia="en-US"/>
        </w:rPr>
        <w:t xml:space="preserve"> GNDI per capita </w:t>
      </w:r>
      <w:r w:rsidR="004734FD">
        <w:rPr>
          <w:color w:val="000000" w:themeColor="text1"/>
          <w:lang w:eastAsia="en-US"/>
        </w:rPr>
        <w:t>de</w:t>
      </w:r>
      <w:r w:rsidR="00BB0F82" w:rsidRPr="007D58D2">
        <w:rPr>
          <w:color w:val="000000" w:themeColor="text1"/>
          <w:lang w:eastAsia="en-US"/>
        </w:rPr>
        <w:t>crease</w:t>
      </w:r>
      <w:r w:rsidR="00BB07AE">
        <w:rPr>
          <w:color w:val="000000" w:themeColor="text1"/>
          <w:lang w:eastAsia="en-US"/>
        </w:rPr>
        <w:t>d</w:t>
      </w:r>
      <w:r w:rsidR="00BB0F82" w:rsidRPr="007D58D2">
        <w:rPr>
          <w:color w:val="000000" w:themeColor="text1"/>
          <w:lang w:eastAsia="en-US"/>
        </w:rPr>
        <w:t xml:space="preserve"> by </w:t>
      </w:r>
      <w:r w:rsidR="00C8087B">
        <w:rPr>
          <w:color w:val="000000" w:themeColor="text1"/>
          <w:lang w:eastAsia="en-US"/>
        </w:rPr>
        <w:t>3</w:t>
      </w:r>
      <w:r w:rsidR="00454C8F">
        <w:rPr>
          <w:color w:val="000000" w:themeColor="text1"/>
          <w:lang w:eastAsia="en-US"/>
        </w:rPr>
        <w:t>.</w:t>
      </w:r>
      <w:r w:rsidR="00C8087B">
        <w:rPr>
          <w:color w:val="000000" w:themeColor="text1"/>
          <w:lang w:eastAsia="en-US"/>
        </w:rPr>
        <w:t>9</w:t>
      </w:r>
      <w:r w:rsidR="00BB0F82" w:rsidRPr="007D58D2">
        <w:rPr>
          <w:color w:val="000000" w:themeColor="text1"/>
          <w:lang w:eastAsia="en-US"/>
        </w:rPr>
        <w:t xml:space="preserve">% in </w:t>
      </w:r>
      <w:r w:rsidR="00F760CE">
        <w:rPr>
          <w:color w:val="000000" w:themeColor="text1"/>
          <w:lang w:eastAsia="en-US"/>
        </w:rPr>
        <w:t>2013</w:t>
      </w:r>
      <w:r w:rsidR="00BB0F82" w:rsidRPr="007D58D2">
        <w:rPr>
          <w:color w:val="000000" w:themeColor="text1"/>
          <w:lang w:eastAsia="en-US"/>
        </w:rPr>
        <w:t xml:space="preserve"> to </w:t>
      </w:r>
      <w:r w:rsidR="00BB07AE">
        <w:rPr>
          <w:color w:val="000000" w:themeColor="text1"/>
          <w:lang w:eastAsia="en-US"/>
        </w:rPr>
        <w:t xml:space="preserve">USD </w:t>
      </w:r>
      <w:r w:rsidR="00BB0F82" w:rsidRPr="007D58D2">
        <w:rPr>
          <w:color w:val="000000" w:themeColor="text1"/>
          <w:lang w:eastAsia="en-US"/>
        </w:rPr>
        <w:t>2,</w:t>
      </w:r>
      <w:r w:rsidR="00C8087B">
        <w:rPr>
          <w:color w:val="000000" w:themeColor="text1"/>
          <w:lang w:eastAsia="en-US"/>
        </w:rPr>
        <w:t>103</w:t>
      </w:r>
      <w:r w:rsidR="00BB0F82" w:rsidRPr="007D58D2">
        <w:rPr>
          <w:color w:val="000000" w:themeColor="text1"/>
          <w:lang w:eastAsia="en-US"/>
        </w:rPr>
        <w:t xml:space="preserve">. </w:t>
      </w:r>
    </w:p>
    <w:p w:rsidR="00C10793" w:rsidRPr="00A01641" w:rsidRDefault="00C10793" w:rsidP="00E161FF">
      <w:pPr>
        <w:bidi w:val="0"/>
        <w:jc w:val="lowKashida"/>
        <w:rPr>
          <w:lang w:eastAsia="en-US"/>
        </w:rPr>
      </w:pPr>
    </w:p>
    <w:p w:rsidR="00AD3354" w:rsidRDefault="00C10793" w:rsidP="00C10793">
      <w:pPr>
        <w:bidi w:val="0"/>
        <w:jc w:val="lowKashida"/>
        <w:rPr>
          <w:b/>
          <w:bCs/>
          <w:snapToGrid w:val="0"/>
        </w:rPr>
      </w:pPr>
      <w:r w:rsidRPr="00C10793">
        <w:rPr>
          <w:b/>
          <w:bCs/>
          <w:color w:val="000000" w:themeColor="text1"/>
        </w:rPr>
        <w:t>1.1.1.</w:t>
      </w:r>
      <w:r w:rsidR="00461B79" w:rsidRPr="00C10793">
        <w:rPr>
          <w:b/>
          <w:bCs/>
          <w:color w:val="000000" w:themeColor="text1"/>
        </w:rPr>
        <w:t xml:space="preserve"> Percentage</w:t>
      </w:r>
      <w:r w:rsidR="00461B79">
        <w:rPr>
          <w:b/>
          <w:bCs/>
          <w:snapToGrid w:val="0"/>
        </w:rPr>
        <w:t xml:space="preserve"> Contribution to GDP </w:t>
      </w:r>
      <w:r w:rsidR="009655C2">
        <w:rPr>
          <w:b/>
          <w:bCs/>
          <w:snapToGrid w:val="0"/>
        </w:rPr>
        <w:t>in</w:t>
      </w:r>
      <w:r w:rsidR="00461B79">
        <w:rPr>
          <w:b/>
          <w:bCs/>
          <w:snapToGrid w:val="0"/>
        </w:rPr>
        <w:t xml:space="preserve"> </w:t>
      </w:r>
      <w:r w:rsidR="00F760CE">
        <w:rPr>
          <w:b/>
          <w:bCs/>
          <w:snapToGrid w:val="0"/>
        </w:rPr>
        <w:t>2013</w:t>
      </w:r>
    </w:p>
    <w:p w:rsidR="00461B79" w:rsidRPr="00C74B50" w:rsidRDefault="00B35DBD" w:rsidP="003418EE">
      <w:pPr>
        <w:bidi w:val="0"/>
        <w:jc w:val="lowKashida"/>
        <w:rPr>
          <w:snapToGrid w:val="0"/>
          <w:color w:val="000000" w:themeColor="text1"/>
        </w:rPr>
      </w:pPr>
      <w:r>
        <w:rPr>
          <w:color w:val="000000" w:themeColor="text1"/>
        </w:rPr>
        <w:t xml:space="preserve">The </w:t>
      </w:r>
      <w:r w:rsidR="00461B79" w:rsidRPr="00C74B50">
        <w:rPr>
          <w:snapToGrid w:val="0"/>
          <w:color w:val="000000" w:themeColor="text1"/>
        </w:rPr>
        <w:t>Palestinian economy is service-oriented</w:t>
      </w:r>
      <w:r w:rsidR="00545E3F" w:rsidRPr="00C74B50">
        <w:rPr>
          <w:snapToGrid w:val="0"/>
          <w:color w:val="000000" w:themeColor="text1"/>
        </w:rPr>
        <w:t xml:space="preserve"> </w:t>
      </w:r>
      <w:r>
        <w:rPr>
          <w:snapToGrid w:val="0"/>
          <w:color w:val="000000" w:themeColor="text1"/>
        </w:rPr>
        <w:t xml:space="preserve">and </w:t>
      </w:r>
      <w:r w:rsidR="00313C34">
        <w:rPr>
          <w:snapToGrid w:val="0"/>
          <w:color w:val="000000" w:themeColor="text1"/>
        </w:rPr>
        <w:t xml:space="preserve">services </w:t>
      </w:r>
      <w:r w:rsidR="00461B79" w:rsidRPr="00C74B50">
        <w:rPr>
          <w:snapToGrid w:val="0"/>
          <w:color w:val="000000" w:themeColor="text1"/>
        </w:rPr>
        <w:t>contribut</w:t>
      </w:r>
      <w:r>
        <w:rPr>
          <w:snapToGrid w:val="0"/>
          <w:color w:val="000000" w:themeColor="text1"/>
        </w:rPr>
        <w:t xml:space="preserve">ed </w:t>
      </w:r>
      <w:r w:rsidR="0074739F">
        <w:rPr>
          <w:snapToGrid w:val="0"/>
          <w:color w:val="000000" w:themeColor="text1"/>
        </w:rPr>
        <w:t>20.9</w:t>
      </w:r>
      <w:r>
        <w:rPr>
          <w:snapToGrid w:val="0"/>
          <w:color w:val="000000" w:themeColor="text1"/>
        </w:rPr>
        <w:t>% to</w:t>
      </w:r>
      <w:r w:rsidR="00461B79" w:rsidRPr="00C74B50">
        <w:rPr>
          <w:snapToGrid w:val="0"/>
          <w:color w:val="000000" w:themeColor="text1"/>
        </w:rPr>
        <w:t xml:space="preserve"> GDP</w:t>
      </w:r>
      <w:r w:rsidR="00642B9B">
        <w:rPr>
          <w:snapToGrid w:val="0"/>
          <w:color w:val="000000" w:themeColor="text1"/>
        </w:rPr>
        <w:t xml:space="preserve"> at c</w:t>
      </w:r>
      <w:r w:rsidR="004A61BD">
        <w:rPr>
          <w:snapToGrid w:val="0"/>
          <w:color w:val="000000" w:themeColor="text1"/>
        </w:rPr>
        <w:t>urrent</w:t>
      </w:r>
      <w:r w:rsidR="00642B9B">
        <w:rPr>
          <w:snapToGrid w:val="0"/>
          <w:color w:val="000000" w:themeColor="text1"/>
        </w:rPr>
        <w:t xml:space="preserve"> prices</w:t>
      </w:r>
      <w:r>
        <w:rPr>
          <w:snapToGrid w:val="0"/>
          <w:color w:val="000000" w:themeColor="text1"/>
        </w:rPr>
        <w:t xml:space="preserve"> in </w:t>
      </w:r>
      <w:r w:rsidR="00F760CE">
        <w:rPr>
          <w:snapToGrid w:val="0"/>
          <w:color w:val="000000" w:themeColor="text1"/>
        </w:rPr>
        <w:t>2013</w:t>
      </w:r>
      <w:r w:rsidR="008504EA">
        <w:rPr>
          <w:snapToGrid w:val="0"/>
          <w:color w:val="000000" w:themeColor="text1"/>
        </w:rPr>
        <w:t>.</w:t>
      </w:r>
      <w:r w:rsidR="00461B79" w:rsidRPr="00C74B50">
        <w:rPr>
          <w:snapToGrid w:val="0"/>
          <w:color w:val="000000" w:themeColor="text1"/>
        </w:rPr>
        <w:t xml:space="preserve"> (</w:t>
      </w:r>
      <w:r w:rsidR="008504EA">
        <w:rPr>
          <w:snapToGrid w:val="0"/>
          <w:color w:val="000000" w:themeColor="text1"/>
        </w:rPr>
        <w:t>A</w:t>
      </w:r>
      <w:r w:rsidR="004C4932" w:rsidRPr="00C74B50">
        <w:rPr>
          <w:snapToGrid w:val="0"/>
          <w:color w:val="000000" w:themeColor="text1"/>
        </w:rPr>
        <w:t>ccording to ISIC</w:t>
      </w:r>
      <w:r w:rsidR="00313C34">
        <w:rPr>
          <w:snapToGrid w:val="0"/>
          <w:color w:val="000000" w:themeColor="text1"/>
        </w:rPr>
        <w:t>-</w:t>
      </w:r>
      <w:r w:rsidR="004C4932" w:rsidRPr="00C74B50">
        <w:rPr>
          <w:snapToGrid w:val="0"/>
          <w:color w:val="000000" w:themeColor="text1"/>
        </w:rPr>
        <w:t>rev</w:t>
      </w:r>
      <w:r w:rsidR="008504EA">
        <w:rPr>
          <w:snapToGrid w:val="0"/>
          <w:color w:val="000000" w:themeColor="text1"/>
        </w:rPr>
        <w:t xml:space="preserve"> </w:t>
      </w:r>
      <w:r w:rsidR="004C4932" w:rsidRPr="00C74B50">
        <w:rPr>
          <w:snapToGrid w:val="0"/>
          <w:color w:val="000000" w:themeColor="text1"/>
        </w:rPr>
        <w:t>4</w:t>
      </w:r>
      <w:r w:rsidR="008504EA">
        <w:rPr>
          <w:snapToGrid w:val="0"/>
          <w:color w:val="000000" w:themeColor="text1"/>
        </w:rPr>
        <w:t>,</w:t>
      </w:r>
      <w:r w:rsidR="004C4932" w:rsidRPr="00C74B50">
        <w:rPr>
          <w:snapToGrid w:val="0"/>
          <w:color w:val="000000" w:themeColor="text1"/>
        </w:rPr>
        <w:t xml:space="preserve"> </w:t>
      </w:r>
      <w:r w:rsidR="008504EA">
        <w:rPr>
          <w:snapToGrid w:val="0"/>
          <w:color w:val="000000" w:themeColor="text1"/>
        </w:rPr>
        <w:t xml:space="preserve">this </w:t>
      </w:r>
      <w:r>
        <w:rPr>
          <w:snapToGrid w:val="0"/>
          <w:color w:val="000000" w:themeColor="text1"/>
        </w:rPr>
        <w:t xml:space="preserve">includes </w:t>
      </w:r>
      <w:r w:rsidR="004C4932" w:rsidRPr="00C74B50">
        <w:rPr>
          <w:snapToGrid w:val="0"/>
          <w:color w:val="000000" w:themeColor="text1"/>
        </w:rPr>
        <w:t>the following activities:</w:t>
      </w:r>
      <w:r w:rsidR="00461B79" w:rsidRPr="00C74B50">
        <w:rPr>
          <w:snapToGrid w:val="0"/>
          <w:color w:val="000000" w:themeColor="text1"/>
        </w:rPr>
        <w:t xml:space="preserve"> real estate</w:t>
      </w:r>
      <w:r w:rsidR="00A3236C">
        <w:rPr>
          <w:snapToGrid w:val="0"/>
          <w:color w:val="000000" w:themeColor="text1"/>
        </w:rPr>
        <w:t>;</w:t>
      </w:r>
      <w:r w:rsidR="00461B79" w:rsidRPr="00C74B50">
        <w:rPr>
          <w:snapToGrid w:val="0"/>
          <w:color w:val="000000" w:themeColor="text1"/>
        </w:rPr>
        <w:t xml:space="preserve"> </w:t>
      </w:r>
      <w:r>
        <w:rPr>
          <w:snapToGrid w:val="0"/>
          <w:color w:val="000000" w:themeColor="text1"/>
        </w:rPr>
        <w:t>p</w:t>
      </w:r>
      <w:r w:rsidR="005B4620" w:rsidRPr="00C74B50">
        <w:rPr>
          <w:snapToGrid w:val="0"/>
          <w:color w:val="000000" w:themeColor="text1"/>
        </w:rPr>
        <w:t>rofessional, scientific and technical activities</w:t>
      </w:r>
      <w:r w:rsidR="00A3236C">
        <w:rPr>
          <w:snapToGrid w:val="0"/>
          <w:color w:val="000000" w:themeColor="text1"/>
        </w:rPr>
        <w:t>;</w:t>
      </w:r>
      <w:r w:rsidR="005B4620" w:rsidRPr="00C74B50">
        <w:rPr>
          <w:color w:val="000000" w:themeColor="text1"/>
        </w:rPr>
        <w:t xml:space="preserve"> </w:t>
      </w:r>
      <w:r w:rsidR="00545E3F" w:rsidRPr="00C74B50">
        <w:rPr>
          <w:snapToGrid w:val="0"/>
          <w:color w:val="000000" w:themeColor="text1"/>
        </w:rPr>
        <w:t xml:space="preserve">accommodation </w:t>
      </w:r>
      <w:r w:rsidR="005B4620" w:rsidRPr="00C74B50">
        <w:rPr>
          <w:snapToGrid w:val="0"/>
          <w:color w:val="000000" w:themeColor="text1"/>
        </w:rPr>
        <w:t>and food service activities</w:t>
      </w:r>
      <w:r w:rsidR="00A3236C">
        <w:rPr>
          <w:snapToGrid w:val="0"/>
          <w:color w:val="000000" w:themeColor="text1"/>
        </w:rPr>
        <w:t>;</w:t>
      </w:r>
      <w:r w:rsidR="005B4620" w:rsidRPr="00C74B50">
        <w:rPr>
          <w:color w:val="000000" w:themeColor="text1"/>
        </w:rPr>
        <w:t xml:space="preserve"> </w:t>
      </w:r>
      <w:r>
        <w:rPr>
          <w:color w:val="000000" w:themeColor="text1"/>
        </w:rPr>
        <w:t>e</w:t>
      </w:r>
      <w:r w:rsidR="005B4620" w:rsidRPr="00C74B50">
        <w:rPr>
          <w:snapToGrid w:val="0"/>
          <w:color w:val="000000" w:themeColor="text1"/>
        </w:rPr>
        <w:t>ducation</w:t>
      </w:r>
      <w:r w:rsidR="00A3236C">
        <w:rPr>
          <w:snapToGrid w:val="0"/>
          <w:color w:val="000000" w:themeColor="text1"/>
        </w:rPr>
        <w:t>;</w:t>
      </w:r>
      <w:r w:rsidR="005B4620" w:rsidRPr="00C74B50">
        <w:rPr>
          <w:snapToGrid w:val="0"/>
          <w:color w:val="000000" w:themeColor="text1"/>
        </w:rPr>
        <w:t xml:space="preserve"> </w:t>
      </w:r>
      <w:r w:rsidR="00545E3F" w:rsidRPr="00C74B50">
        <w:rPr>
          <w:snapToGrid w:val="0"/>
          <w:color w:val="000000" w:themeColor="text1"/>
        </w:rPr>
        <w:t xml:space="preserve">human </w:t>
      </w:r>
      <w:r w:rsidR="005B4620" w:rsidRPr="00C74B50">
        <w:rPr>
          <w:snapToGrid w:val="0"/>
          <w:color w:val="000000" w:themeColor="text1"/>
        </w:rPr>
        <w:t>health</w:t>
      </w:r>
      <w:r w:rsidR="005B4620" w:rsidRPr="005B4620">
        <w:rPr>
          <w:snapToGrid w:val="0"/>
        </w:rPr>
        <w:t xml:space="preserve"> and social work activities</w:t>
      </w:r>
      <w:r w:rsidR="00A3236C">
        <w:rPr>
          <w:snapToGrid w:val="0"/>
        </w:rPr>
        <w:t>;</w:t>
      </w:r>
      <w:r w:rsidR="005B4620">
        <w:rPr>
          <w:snapToGrid w:val="0"/>
        </w:rPr>
        <w:t xml:space="preserve"> </w:t>
      </w:r>
      <w:r w:rsidR="00751D89">
        <w:rPr>
          <w:snapToGrid w:val="0"/>
        </w:rPr>
        <w:t>a</w:t>
      </w:r>
      <w:r w:rsidR="00751D89" w:rsidRPr="005B4620">
        <w:rPr>
          <w:snapToGrid w:val="0"/>
        </w:rPr>
        <w:t>rts</w:t>
      </w:r>
      <w:r w:rsidR="00A3236C">
        <w:rPr>
          <w:snapToGrid w:val="0"/>
        </w:rPr>
        <w:t>;</w:t>
      </w:r>
      <w:r w:rsidR="005B4620" w:rsidRPr="005B4620">
        <w:rPr>
          <w:snapToGrid w:val="0"/>
        </w:rPr>
        <w:t xml:space="preserve"> entertainment and </w:t>
      </w:r>
      <w:r w:rsidR="005B4620" w:rsidRPr="0056633B">
        <w:rPr>
          <w:snapToGrid w:val="0"/>
        </w:rPr>
        <w:t>recreation</w:t>
      </w:r>
      <w:r w:rsidR="009655C2">
        <w:rPr>
          <w:snapToGrid w:val="0"/>
        </w:rPr>
        <w:t>;</w:t>
      </w:r>
      <w:r w:rsidR="00751D89">
        <w:rPr>
          <w:snapToGrid w:val="0"/>
        </w:rPr>
        <w:t xml:space="preserve"> and</w:t>
      </w:r>
      <w:r w:rsidR="005B4620" w:rsidRPr="0056633B">
        <w:t xml:space="preserve"> </w:t>
      </w:r>
      <w:r w:rsidR="00751D89">
        <w:rPr>
          <w:snapToGrid w:val="0"/>
        </w:rPr>
        <w:t>o</w:t>
      </w:r>
      <w:r w:rsidR="00751D89" w:rsidRPr="0056633B">
        <w:rPr>
          <w:snapToGrid w:val="0"/>
        </w:rPr>
        <w:t xml:space="preserve">ther </w:t>
      </w:r>
      <w:r w:rsidR="005B4620" w:rsidRPr="0056633B">
        <w:rPr>
          <w:snapToGrid w:val="0"/>
        </w:rPr>
        <w:t>service activities</w:t>
      </w:r>
      <w:r w:rsidR="005E5EFB">
        <w:rPr>
          <w:snapToGrid w:val="0"/>
        </w:rPr>
        <w:t>).</w:t>
      </w:r>
      <w:r w:rsidR="00461B79" w:rsidRPr="0056633B">
        <w:rPr>
          <w:snapToGrid w:val="0"/>
        </w:rPr>
        <w:t xml:space="preserve"> </w:t>
      </w:r>
      <w:r w:rsidR="00C74B50" w:rsidRPr="00C74B50">
        <w:rPr>
          <w:snapToGrid w:val="0"/>
        </w:rPr>
        <w:t xml:space="preserve">Wholesale and retail trade, repair of motor vehicles and motorcycles </w:t>
      </w:r>
      <w:r w:rsidR="00C74B50">
        <w:rPr>
          <w:snapToGrid w:val="0"/>
        </w:rPr>
        <w:t xml:space="preserve">contributed </w:t>
      </w:r>
      <w:r w:rsidR="0074739F">
        <w:rPr>
          <w:snapToGrid w:val="0"/>
          <w:color w:val="000000" w:themeColor="text1"/>
        </w:rPr>
        <w:t>17.1</w:t>
      </w:r>
      <w:r w:rsidR="00C74B50" w:rsidRPr="009C6221">
        <w:rPr>
          <w:snapToGrid w:val="0"/>
          <w:color w:val="000000" w:themeColor="text1"/>
        </w:rPr>
        <w:t>%</w:t>
      </w:r>
      <w:r w:rsidR="009655C2">
        <w:rPr>
          <w:snapToGrid w:val="0"/>
          <w:color w:val="000000" w:themeColor="text1"/>
        </w:rPr>
        <w:t>.</w:t>
      </w:r>
      <w:r w:rsidR="009C6221" w:rsidRPr="009C6221">
        <w:rPr>
          <w:snapToGrid w:val="0"/>
          <w:color w:val="000000" w:themeColor="text1"/>
        </w:rPr>
        <w:t xml:space="preserve"> </w:t>
      </w:r>
      <w:r w:rsidR="009655C2">
        <w:rPr>
          <w:snapToGrid w:val="0"/>
          <w:color w:val="000000" w:themeColor="text1"/>
        </w:rPr>
        <w:t>I</w:t>
      </w:r>
      <w:r w:rsidR="0082038F" w:rsidRPr="009C6221">
        <w:rPr>
          <w:snapToGrid w:val="0"/>
          <w:color w:val="000000" w:themeColor="text1"/>
        </w:rPr>
        <w:t>ndustrial activities</w:t>
      </w:r>
      <w:r w:rsidR="0082038F">
        <w:rPr>
          <w:snapToGrid w:val="0"/>
          <w:color w:val="000000" w:themeColor="text1"/>
        </w:rPr>
        <w:t>,</w:t>
      </w:r>
      <w:r w:rsidR="0082038F" w:rsidRPr="009C6221">
        <w:rPr>
          <w:snapToGrid w:val="0"/>
          <w:color w:val="000000" w:themeColor="text1"/>
        </w:rPr>
        <w:t xml:space="preserve"> which include </w:t>
      </w:r>
      <w:r w:rsidR="0082038F">
        <w:rPr>
          <w:snapToGrid w:val="0"/>
          <w:color w:val="000000" w:themeColor="text1"/>
        </w:rPr>
        <w:t>m</w:t>
      </w:r>
      <w:r w:rsidR="0082038F" w:rsidRPr="009C6221">
        <w:rPr>
          <w:snapToGrid w:val="0"/>
          <w:color w:val="000000" w:themeColor="text1"/>
        </w:rPr>
        <w:t>ining</w:t>
      </w:r>
      <w:r w:rsidR="0082038F" w:rsidRPr="0056633B">
        <w:rPr>
          <w:snapToGrid w:val="0"/>
        </w:rPr>
        <w:t xml:space="preserve">, manufacturing, </w:t>
      </w:r>
      <w:r w:rsidR="0082038F">
        <w:rPr>
          <w:snapToGrid w:val="0"/>
        </w:rPr>
        <w:t>e</w:t>
      </w:r>
      <w:r w:rsidR="0082038F" w:rsidRPr="0056633B">
        <w:rPr>
          <w:snapToGrid w:val="0"/>
        </w:rPr>
        <w:t>lectricity, gas, steam and air conditioning supply,</w:t>
      </w:r>
      <w:r w:rsidR="0082038F" w:rsidRPr="0056633B">
        <w:t xml:space="preserve"> </w:t>
      </w:r>
      <w:r w:rsidR="0082038F">
        <w:rPr>
          <w:snapToGrid w:val="0"/>
        </w:rPr>
        <w:t>w</w:t>
      </w:r>
      <w:r w:rsidR="0082038F" w:rsidRPr="0056633B">
        <w:rPr>
          <w:snapToGrid w:val="0"/>
        </w:rPr>
        <w:t xml:space="preserve">ater supply, sewerage, waste </w:t>
      </w:r>
      <w:r w:rsidR="0082038F" w:rsidRPr="009C6221">
        <w:rPr>
          <w:snapToGrid w:val="0"/>
          <w:color w:val="000000" w:themeColor="text1"/>
        </w:rPr>
        <w:t>management and remediation activities</w:t>
      </w:r>
      <w:r w:rsidR="009655C2">
        <w:rPr>
          <w:snapToGrid w:val="0"/>
          <w:color w:val="000000" w:themeColor="text1"/>
        </w:rPr>
        <w:t>,</w:t>
      </w:r>
      <w:r w:rsidR="0082038F" w:rsidRPr="009C6221">
        <w:rPr>
          <w:snapToGrid w:val="0"/>
          <w:color w:val="000000" w:themeColor="text1"/>
        </w:rPr>
        <w:t xml:space="preserve"> </w:t>
      </w:r>
      <w:r w:rsidR="0082038F">
        <w:rPr>
          <w:snapToGrid w:val="0"/>
          <w:color w:val="000000" w:themeColor="text1"/>
        </w:rPr>
        <w:t xml:space="preserve">contributed </w:t>
      </w:r>
      <w:r w:rsidR="0074739F">
        <w:rPr>
          <w:snapToGrid w:val="0"/>
          <w:color w:val="000000" w:themeColor="text1"/>
        </w:rPr>
        <w:t>15.7</w:t>
      </w:r>
      <w:r w:rsidR="0082038F">
        <w:rPr>
          <w:snapToGrid w:val="0"/>
          <w:color w:val="000000" w:themeColor="text1"/>
        </w:rPr>
        <w:t>%</w:t>
      </w:r>
      <w:r w:rsidR="00A3236C">
        <w:rPr>
          <w:snapToGrid w:val="0"/>
          <w:color w:val="000000" w:themeColor="text1"/>
        </w:rPr>
        <w:t>.</w:t>
      </w:r>
      <w:r w:rsidR="0082038F">
        <w:rPr>
          <w:snapToGrid w:val="0"/>
          <w:color w:val="000000" w:themeColor="text1"/>
        </w:rPr>
        <w:t xml:space="preserve"> </w:t>
      </w:r>
      <w:r w:rsidR="0082038F" w:rsidRPr="0056633B">
        <w:rPr>
          <w:snapToGrid w:val="0"/>
        </w:rPr>
        <w:t xml:space="preserve">Public administration and defense </w:t>
      </w:r>
      <w:r w:rsidR="0082038F" w:rsidRPr="009C6221">
        <w:rPr>
          <w:snapToGrid w:val="0"/>
          <w:color w:val="000000" w:themeColor="text1"/>
        </w:rPr>
        <w:t>activit</w:t>
      </w:r>
      <w:r w:rsidR="00A3236C">
        <w:rPr>
          <w:snapToGrid w:val="0"/>
          <w:color w:val="000000" w:themeColor="text1"/>
        </w:rPr>
        <w:t>ies</w:t>
      </w:r>
      <w:r w:rsidR="0082038F" w:rsidRPr="009C6221">
        <w:rPr>
          <w:snapToGrid w:val="0"/>
          <w:color w:val="000000" w:themeColor="text1"/>
        </w:rPr>
        <w:t xml:space="preserve"> contributed </w:t>
      </w:r>
      <w:r w:rsidR="003418EE">
        <w:rPr>
          <w:snapToGrid w:val="0"/>
          <w:color w:val="000000" w:themeColor="text1"/>
        </w:rPr>
        <w:t>14.8</w:t>
      </w:r>
      <w:r w:rsidR="0082038F" w:rsidRPr="009C6221">
        <w:rPr>
          <w:snapToGrid w:val="0"/>
          <w:color w:val="000000" w:themeColor="text1"/>
        </w:rPr>
        <w:t xml:space="preserve">%, </w:t>
      </w:r>
      <w:r w:rsidR="009C6221" w:rsidRPr="009C6221">
        <w:rPr>
          <w:snapToGrid w:val="0"/>
          <w:color w:val="000000" w:themeColor="text1"/>
        </w:rPr>
        <w:t xml:space="preserve">while </w:t>
      </w:r>
      <w:r>
        <w:rPr>
          <w:snapToGrid w:val="0"/>
          <w:color w:val="000000" w:themeColor="text1"/>
        </w:rPr>
        <w:t>c</w:t>
      </w:r>
      <w:r w:rsidR="009C6221" w:rsidRPr="009C6221">
        <w:rPr>
          <w:snapToGrid w:val="0"/>
          <w:color w:val="000000" w:themeColor="text1"/>
        </w:rPr>
        <w:t xml:space="preserve">onstruction contributed </w:t>
      </w:r>
      <w:r w:rsidR="003418EE">
        <w:rPr>
          <w:rFonts w:hint="cs"/>
          <w:snapToGrid w:val="0"/>
          <w:color w:val="000000" w:themeColor="text1"/>
          <w:rtl/>
        </w:rPr>
        <w:t>4.5</w:t>
      </w:r>
      <w:r w:rsidR="0082038F">
        <w:rPr>
          <w:snapToGrid w:val="0"/>
          <w:color w:val="000000" w:themeColor="text1"/>
        </w:rPr>
        <w:t xml:space="preserve">% </w:t>
      </w:r>
      <w:r w:rsidR="008504EA">
        <w:rPr>
          <w:snapToGrid w:val="0"/>
          <w:color w:val="000000" w:themeColor="text1"/>
        </w:rPr>
        <w:t>to</w:t>
      </w:r>
      <w:r w:rsidR="00957F97">
        <w:rPr>
          <w:snapToGrid w:val="0"/>
        </w:rPr>
        <w:t xml:space="preserve"> GDP</w:t>
      </w:r>
      <w:r w:rsidR="007340B6">
        <w:rPr>
          <w:snapToGrid w:val="0"/>
        </w:rPr>
        <w:t>.</w:t>
      </w:r>
      <w:r w:rsidR="00461B79" w:rsidRPr="0056633B">
        <w:rPr>
          <w:snapToGrid w:val="0"/>
        </w:rPr>
        <w:t xml:space="preserve"> </w:t>
      </w:r>
      <w:r w:rsidR="0056633B" w:rsidRPr="0056633B">
        <w:rPr>
          <w:snapToGrid w:val="0"/>
        </w:rPr>
        <w:t xml:space="preserve">Transportation </w:t>
      </w:r>
      <w:r w:rsidR="0056633B" w:rsidRPr="00C74B50">
        <w:rPr>
          <w:snapToGrid w:val="0"/>
          <w:color w:val="000000" w:themeColor="text1"/>
        </w:rPr>
        <w:t xml:space="preserve">and </w:t>
      </w:r>
      <w:r w:rsidR="00E1699F" w:rsidRPr="00C74B50">
        <w:rPr>
          <w:snapToGrid w:val="0"/>
          <w:color w:val="000000" w:themeColor="text1"/>
        </w:rPr>
        <w:t xml:space="preserve">storage </w:t>
      </w:r>
      <w:r w:rsidR="00957F97" w:rsidRPr="00C74B50">
        <w:rPr>
          <w:snapToGrid w:val="0"/>
          <w:color w:val="000000" w:themeColor="text1"/>
        </w:rPr>
        <w:t>activities</w:t>
      </w:r>
      <w:r w:rsidR="00461B79" w:rsidRPr="00C74B50">
        <w:rPr>
          <w:snapToGrid w:val="0"/>
          <w:color w:val="000000" w:themeColor="text1"/>
        </w:rPr>
        <w:t xml:space="preserve"> formed the lowest contribution </w:t>
      </w:r>
      <w:r w:rsidR="007340B6">
        <w:rPr>
          <w:snapToGrid w:val="0"/>
          <w:color w:val="000000" w:themeColor="text1"/>
        </w:rPr>
        <w:t>of</w:t>
      </w:r>
      <w:r w:rsidR="00461B79" w:rsidRPr="00C74B50">
        <w:rPr>
          <w:snapToGrid w:val="0"/>
          <w:color w:val="000000" w:themeColor="text1"/>
        </w:rPr>
        <w:t xml:space="preserve"> </w:t>
      </w:r>
      <w:r w:rsidR="004A61BD">
        <w:rPr>
          <w:snapToGrid w:val="0"/>
          <w:color w:val="000000" w:themeColor="text1"/>
        </w:rPr>
        <w:t>1.</w:t>
      </w:r>
      <w:r w:rsidR="003418EE">
        <w:rPr>
          <w:rFonts w:hint="cs"/>
          <w:snapToGrid w:val="0"/>
          <w:color w:val="000000" w:themeColor="text1"/>
          <w:rtl/>
        </w:rPr>
        <w:t>8</w:t>
      </w:r>
      <w:r w:rsidR="00461B79" w:rsidRPr="00C74B50">
        <w:rPr>
          <w:snapToGrid w:val="0"/>
          <w:color w:val="000000" w:themeColor="text1"/>
        </w:rPr>
        <w:t>%.</w:t>
      </w:r>
    </w:p>
    <w:p w:rsidR="00013391" w:rsidRPr="00A01641" w:rsidRDefault="00013391" w:rsidP="00F77E79">
      <w:pPr>
        <w:bidi w:val="0"/>
        <w:jc w:val="center"/>
        <w:rPr>
          <w:rFonts w:asciiTheme="minorBidi" w:hAnsiTheme="minorBidi" w:cstheme="minorBidi"/>
          <w:b/>
          <w:bCs/>
          <w:snapToGrid w:val="0"/>
        </w:rPr>
      </w:pPr>
    </w:p>
    <w:p w:rsidR="00A01641" w:rsidRDefault="00203B09" w:rsidP="00013391">
      <w:pPr>
        <w:bidi w:val="0"/>
        <w:jc w:val="center"/>
        <w:rPr>
          <w:rFonts w:ascii="Arial" w:hAnsi="Arial" w:cs="Arial"/>
          <w:b/>
          <w:bCs/>
          <w:snapToGrid w:val="0"/>
          <w:sz w:val="22"/>
          <w:szCs w:val="22"/>
        </w:rPr>
      </w:pPr>
      <w:r w:rsidRPr="00C642DD">
        <w:rPr>
          <w:rFonts w:ascii="Arial" w:hAnsi="Arial" w:cs="Arial"/>
          <w:b/>
          <w:bCs/>
          <w:snapToGrid w:val="0"/>
          <w:sz w:val="22"/>
          <w:szCs w:val="22"/>
        </w:rPr>
        <w:t xml:space="preserve">Percentage contribution </w:t>
      </w:r>
      <w:r w:rsidR="008504EA" w:rsidRPr="00C642DD">
        <w:rPr>
          <w:rFonts w:ascii="Arial" w:hAnsi="Arial" w:cs="Arial"/>
          <w:b/>
          <w:bCs/>
          <w:snapToGrid w:val="0"/>
          <w:sz w:val="22"/>
          <w:szCs w:val="22"/>
        </w:rPr>
        <w:t>o</w:t>
      </w:r>
      <w:r w:rsidRPr="00C642DD">
        <w:rPr>
          <w:rFonts w:ascii="Arial" w:hAnsi="Arial" w:cs="Arial"/>
          <w:b/>
          <w:bCs/>
          <w:snapToGrid w:val="0"/>
          <w:sz w:val="22"/>
          <w:szCs w:val="22"/>
        </w:rPr>
        <w:t xml:space="preserve">f economic activity </w:t>
      </w:r>
      <w:r w:rsidR="00260CFE" w:rsidRPr="00C642DD">
        <w:rPr>
          <w:rFonts w:ascii="Arial" w:hAnsi="Arial" w:cs="Arial"/>
          <w:b/>
          <w:bCs/>
          <w:snapToGrid w:val="0"/>
          <w:sz w:val="22"/>
          <w:szCs w:val="22"/>
        </w:rPr>
        <w:t>to</w:t>
      </w:r>
      <w:r w:rsidR="00461B79" w:rsidRPr="00C642DD">
        <w:rPr>
          <w:rFonts w:ascii="Arial" w:hAnsi="Arial" w:cs="Arial"/>
          <w:b/>
          <w:bCs/>
          <w:snapToGrid w:val="0"/>
          <w:sz w:val="22"/>
          <w:szCs w:val="22"/>
        </w:rPr>
        <w:t xml:space="preserve"> GDP </w:t>
      </w:r>
      <w:r w:rsidR="00DE3BFF" w:rsidRPr="00C642DD">
        <w:rPr>
          <w:rFonts w:ascii="Arial" w:hAnsi="Arial" w:cs="Arial"/>
          <w:b/>
          <w:bCs/>
          <w:snapToGrid w:val="0"/>
          <w:sz w:val="22"/>
          <w:szCs w:val="22"/>
        </w:rPr>
        <w:t>in Palestine</w:t>
      </w:r>
      <w:r w:rsidR="00F530F9" w:rsidRPr="00C642DD">
        <w:rPr>
          <w:rFonts w:ascii="Arial" w:hAnsi="Arial" w:cs="Arial"/>
          <w:b/>
          <w:bCs/>
          <w:snapToGrid w:val="0"/>
          <w:sz w:val="22"/>
          <w:szCs w:val="22"/>
        </w:rPr>
        <w:t>*</w:t>
      </w:r>
      <w:r w:rsidRPr="00C642DD">
        <w:rPr>
          <w:rFonts w:ascii="Arial" w:hAnsi="Arial" w:cs="Arial"/>
          <w:b/>
          <w:bCs/>
          <w:snapToGrid w:val="0"/>
          <w:sz w:val="22"/>
          <w:szCs w:val="22"/>
        </w:rPr>
        <w:t xml:space="preserve"> </w:t>
      </w:r>
      <w:r w:rsidR="00461B79" w:rsidRPr="00C642DD">
        <w:rPr>
          <w:rFonts w:ascii="Arial" w:hAnsi="Arial" w:cs="Arial"/>
          <w:b/>
          <w:bCs/>
          <w:snapToGrid w:val="0"/>
          <w:sz w:val="22"/>
          <w:szCs w:val="22"/>
        </w:rPr>
        <w:t xml:space="preserve">for </w:t>
      </w:r>
      <w:r w:rsidR="00F760CE" w:rsidRPr="00C642DD">
        <w:rPr>
          <w:rFonts w:ascii="Arial" w:hAnsi="Arial" w:cs="Arial"/>
          <w:b/>
          <w:bCs/>
          <w:snapToGrid w:val="0"/>
          <w:sz w:val="22"/>
          <w:szCs w:val="22"/>
          <w:lang w:val="en-GB"/>
        </w:rPr>
        <w:t>2013</w:t>
      </w:r>
      <w:r w:rsidR="0007072F" w:rsidRPr="00C642DD">
        <w:rPr>
          <w:rFonts w:ascii="Arial" w:hAnsi="Arial" w:cs="Arial"/>
          <w:b/>
          <w:bCs/>
          <w:snapToGrid w:val="0"/>
          <w:sz w:val="22"/>
          <w:szCs w:val="22"/>
        </w:rPr>
        <w:t xml:space="preserve"> </w:t>
      </w:r>
    </w:p>
    <w:p w:rsidR="008F6F53" w:rsidRPr="00C642DD" w:rsidRDefault="00461B79" w:rsidP="00A01641">
      <w:pPr>
        <w:bidi w:val="0"/>
        <w:jc w:val="center"/>
        <w:rPr>
          <w:rFonts w:ascii="Arial" w:hAnsi="Arial" w:cs="Arial"/>
          <w:b/>
          <w:bCs/>
          <w:sz w:val="22"/>
          <w:szCs w:val="22"/>
        </w:rPr>
      </w:pPr>
      <w:proofErr w:type="gramStart"/>
      <w:r w:rsidRPr="00C642DD">
        <w:rPr>
          <w:rFonts w:ascii="Arial" w:hAnsi="Arial" w:cs="Arial"/>
          <w:b/>
          <w:bCs/>
          <w:snapToGrid w:val="0"/>
          <w:sz w:val="22"/>
          <w:szCs w:val="22"/>
        </w:rPr>
        <w:t>at</w:t>
      </w:r>
      <w:proofErr w:type="gramEnd"/>
      <w:r w:rsidRPr="00C642DD">
        <w:rPr>
          <w:rFonts w:ascii="Arial" w:hAnsi="Arial" w:cs="Arial"/>
          <w:b/>
          <w:bCs/>
          <w:snapToGrid w:val="0"/>
          <w:sz w:val="22"/>
          <w:szCs w:val="22"/>
        </w:rPr>
        <w:t xml:space="preserve"> </w:t>
      </w:r>
      <w:r w:rsidR="00F77E79" w:rsidRPr="00C642DD">
        <w:rPr>
          <w:rFonts w:ascii="Arial" w:hAnsi="Arial" w:cs="Arial"/>
          <w:b/>
          <w:bCs/>
          <w:snapToGrid w:val="0"/>
          <w:sz w:val="22"/>
          <w:szCs w:val="22"/>
        </w:rPr>
        <w:t>current</w:t>
      </w:r>
      <w:r w:rsidR="00013391" w:rsidRPr="00C642DD">
        <w:rPr>
          <w:rFonts w:ascii="Arial" w:hAnsi="Arial" w:cs="Arial"/>
          <w:b/>
          <w:bCs/>
          <w:sz w:val="22"/>
          <w:szCs w:val="22"/>
        </w:rPr>
        <w:t xml:space="preserve"> prices</w:t>
      </w:r>
    </w:p>
    <w:tbl>
      <w:tblPr>
        <w:tblStyle w:val="TableGrid"/>
        <w:tblW w:w="0" w:type="auto"/>
        <w:jc w:val="center"/>
        <w:tblLook w:val="04A0"/>
      </w:tblPr>
      <w:tblGrid>
        <w:gridCol w:w="9081"/>
      </w:tblGrid>
      <w:tr w:rsidR="008F6F53" w:rsidTr="00A01641">
        <w:trPr>
          <w:jc w:val="center"/>
        </w:trPr>
        <w:tc>
          <w:tcPr>
            <w:tcW w:w="9081" w:type="dxa"/>
            <w:vAlign w:val="center"/>
          </w:tcPr>
          <w:p w:rsidR="008F6F53" w:rsidRDefault="008F6F53" w:rsidP="00A01641">
            <w:pPr>
              <w:bidi w:val="0"/>
              <w:jc w:val="center"/>
              <w:rPr>
                <w:b/>
                <w:bCs/>
                <w:sz w:val="18"/>
                <w:szCs w:val="18"/>
              </w:rPr>
            </w:pPr>
            <w:r w:rsidRPr="008F6F53">
              <w:rPr>
                <w:b/>
                <w:bCs/>
                <w:noProof/>
                <w:sz w:val="18"/>
                <w:szCs w:val="18"/>
                <w:lang w:eastAsia="en-US"/>
              </w:rPr>
              <w:drawing>
                <wp:inline distT="0" distB="0" distL="0" distR="0">
                  <wp:extent cx="5629275" cy="2609850"/>
                  <wp:effectExtent l="0" t="0" r="0" b="0"/>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5F5139" w:rsidRPr="005F5139" w:rsidRDefault="005F5139" w:rsidP="005F5139">
      <w:pPr>
        <w:bidi w:val="0"/>
        <w:rPr>
          <w:sz w:val="18"/>
          <w:szCs w:val="18"/>
        </w:rPr>
      </w:pPr>
      <w:r w:rsidRPr="005F5139">
        <w:rPr>
          <w:sz w:val="18"/>
          <w:szCs w:val="18"/>
        </w:rPr>
        <w:t>*The data excludes those parts of Jerusalem</w:t>
      </w:r>
      <w:r w:rsidR="00454C8F">
        <w:rPr>
          <w:sz w:val="18"/>
          <w:szCs w:val="18"/>
        </w:rPr>
        <w:t xml:space="preserve"> governorate</w:t>
      </w:r>
      <w:r w:rsidRPr="005F5139">
        <w:rPr>
          <w:sz w:val="18"/>
          <w:szCs w:val="18"/>
        </w:rPr>
        <w:t xml:space="preserve"> which were annexed by Israel in 1967.</w:t>
      </w:r>
    </w:p>
    <w:p w:rsidR="00461B79" w:rsidRPr="005F5139" w:rsidRDefault="005F5139" w:rsidP="005F5139">
      <w:pPr>
        <w:bidi w:val="0"/>
        <w:rPr>
          <w:sz w:val="18"/>
          <w:szCs w:val="18"/>
        </w:rPr>
      </w:pPr>
      <w:r w:rsidRPr="005F5139">
        <w:rPr>
          <w:sz w:val="18"/>
          <w:szCs w:val="18"/>
        </w:rPr>
        <w:t>**</w:t>
      </w:r>
      <w:r w:rsidR="00461B79" w:rsidRPr="005F5139">
        <w:rPr>
          <w:sz w:val="18"/>
          <w:szCs w:val="18"/>
        </w:rPr>
        <w:t>In</w:t>
      </w:r>
      <w:r w:rsidR="00B52D09" w:rsidRPr="005F5139">
        <w:rPr>
          <w:sz w:val="18"/>
          <w:szCs w:val="18"/>
        </w:rPr>
        <w:t>cludes</w:t>
      </w:r>
      <w:r w:rsidR="00461B79" w:rsidRPr="005F5139">
        <w:rPr>
          <w:sz w:val="18"/>
          <w:szCs w:val="18"/>
        </w:rPr>
        <w:t xml:space="preserve"> </w:t>
      </w:r>
      <w:r w:rsidR="00AF1D45" w:rsidRPr="005F5139">
        <w:rPr>
          <w:sz w:val="18"/>
          <w:szCs w:val="18"/>
        </w:rPr>
        <w:t>h</w:t>
      </w:r>
      <w:r w:rsidR="00461B79" w:rsidRPr="005F5139">
        <w:rPr>
          <w:snapToGrid w:val="0"/>
          <w:sz w:val="18"/>
          <w:szCs w:val="18"/>
        </w:rPr>
        <w:t>ouseholds with employed persons,</w:t>
      </w:r>
      <w:r w:rsidR="00461B79" w:rsidRPr="005F5139">
        <w:rPr>
          <w:sz w:val="18"/>
          <w:szCs w:val="18"/>
        </w:rPr>
        <w:t xml:space="preserve"> FISIM, customs duties and VAT on </w:t>
      </w:r>
      <w:r w:rsidR="009655C2">
        <w:rPr>
          <w:sz w:val="18"/>
          <w:szCs w:val="18"/>
        </w:rPr>
        <w:t xml:space="preserve">net </w:t>
      </w:r>
      <w:r w:rsidR="00461B79" w:rsidRPr="005F5139">
        <w:rPr>
          <w:sz w:val="18"/>
          <w:szCs w:val="18"/>
        </w:rPr>
        <w:t>imports</w:t>
      </w:r>
      <w:r w:rsidR="009655C2">
        <w:rPr>
          <w:sz w:val="18"/>
          <w:szCs w:val="18"/>
        </w:rPr>
        <w:t>.</w:t>
      </w:r>
    </w:p>
    <w:p w:rsidR="00015166" w:rsidRPr="00A01641" w:rsidRDefault="00015166" w:rsidP="00C10793">
      <w:pPr>
        <w:bidi w:val="0"/>
        <w:rPr>
          <w:rFonts w:asciiTheme="minorBidi" w:hAnsiTheme="minorBidi" w:cstheme="minorBidi"/>
          <w:b/>
          <w:bCs/>
          <w:snapToGrid w:val="0"/>
        </w:rPr>
      </w:pPr>
    </w:p>
    <w:p w:rsidR="00C10793" w:rsidRPr="00C642DD" w:rsidRDefault="00C10793" w:rsidP="00164173">
      <w:pPr>
        <w:bidi w:val="0"/>
        <w:jc w:val="both"/>
        <w:rPr>
          <w:b/>
          <w:bCs/>
          <w:snapToGrid w:val="0"/>
          <w:color w:val="000000" w:themeColor="text1"/>
          <w:sz w:val="22"/>
          <w:szCs w:val="22"/>
        </w:rPr>
      </w:pPr>
      <w:r w:rsidRPr="00C642DD">
        <w:rPr>
          <w:b/>
          <w:bCs/>
          <w:snapToGrid w:val="0"/>
          <w:color w:val="000000" w:themeColor="text1"/>
          <w:sz w:val="22"/>
          <w:szCs w:val="22"/>
        </w:rPr>
        <w:t>1.1.2. Gross Domestic Product</w:t>
      </w:r>
    </w:p>
    <w:p w:rsidR="00C10793" w:rsidRPr="00C642DD" w:rsidRDefault="00C10793" w:rsidP="00164173">
      <w:pPr>
        <w:bidi w:val="0"/>
        <w:jc w:val="both"/>
        <w:rPr>
          <w:b/>
          <w:bCs/>
          <w:snapToGrid w:val="0"/>
          <w:color w:val="000000" w:themeColor="text1"/>
          <w:sz w:val="22"/>
          <w:szCs w:val="22"/>
        </w:rPr>
      </w:pPr>
      <w:r w:rsidRPr="00C642DD">
        <w:rPr>
          <w:color w:val="000000" w:themeColor="text1"/>
          <w:lang w:eastAsia="en-US"/>
        </w:rPr>
        <w:t xml:space="preserve">GDP </w:t>
      </w:r>
      <w:r w:rsidR="009655C2" w:rsidRPr="00C642DD">
        <w:rPr>
          <w:color w:val="000000" w:themeColor="text1"/>
          <w:lang w:eastAsia="en-US"/>
        </w:rPr>
        <w:t>aims</w:t>
      </w:r>
      <w:r w:rsidRPr="00C642DD">
        <w:rPr>
          <w:color w:val="000000" w:themeColor="text1"/>
          <w:lang w:eastAsia="en-US"/>
        </w:rPr>
        <w:t xml:space="preserve"> to measure the value created by the productive activity of resident institutional units </w:t>
      </w:r>
      <w:r w:rsidR="00921D12" w:rsidRPr="00C642DD">
        <w:rPr>
          <w:color w:val="000000" w:themeColor="text1"/>
          <w:lang w:eastAsia="en-US"/>
        </w:rPr>
        <w:t>over</w:t>
      </w:r>
      <w:r w:rsidRPr="00C642DD">
        <w:rPr>
          <w:color w:val="000000" w:themeColor="text1"/>
          <w:lang w:eastAsia="en-US"/>
        </w:rPr>
        <w:t xml:space="preserve"> a </w:t>
      </w:r>
      <w:r w:rsidR="009655C2" w:rsidRPr="00C642DD">
        <w:rPr>
          <w:color w:val="000000" w:themeColor="text1"/>
          <w:lang w:eastAsia="en-US"/>
        </w:rPr>
        <w:t>specific</w:t>
      </w:r>
      <w:r w:rsidRPr="00C642DD">
        <w:rPr>
          <w:color w:val="000000" w:themeColor="text1"/>
          <w:lang w:eastAsia="en-US"/>
        </w:rPr>
        <w:t xml:space="preserve"> period </w:t>
      </w:r>
      <w:r w:rsidR="009655C2" w:rsidRPr="00C642DD">
        <w:rPr>
          <w:color w:val="000000" w:themeColor="text1"/>
          <w:lang w:eastAsia="en-US"/>
        </w:rPr>
        <w:t>of</w:t>
      </w:r>
      <w:r w:rsidRPr="00C642DD">
        <w:rPr>
          <w:color w:val="000000" w:themeColor="text1"/>
          <w:lang w:eastAsia="en-US"/>
        </w:rPr>
        <w:t xml:space="preserve"> time.</w:t>
      </w:r>
    </w:p>
    <w:p w:rsidR="00C10793" w:rsidRPr="00C642DD" w:rsidRDefault="00C10793" w:rsidP="00C10793">
      <w:pPr>
        <w:bidi w:val="0"/>
        <w:rPr>
          <w:b/>
          <w:bCs/>
          <w:snapToGrid w:val="0"/>
          <w:sz w:val="22"/>
          <w:szCs w:val="22"/>
        </w:rPr>
      </w:pPr>
    </w:p>
    <w:p w:rsidR="00504475" w:rsidRPr="00C642DD" w:rsidRDefault="00A348BE" w:rsidP="002E1197">
      <w:pPr>
        <w:bidi w:val="0"/>
        <w:jc w:val="center"/>
        <w:rPr>
          <w:rFonts w:ascii="Arial" w:hAnsi="Arial" w:cs="Arial"/>
          <w:b/>
          <w:bCs/>
          <w:snapToGrid w:val="0"/>
          <w:sz w:val="22"/>
          <w:szCs w:val="22"/>
        </w:rPr>
      </w:pPr>
      <w:r>
        <w:rPr>
          <w:rFonts w:ascii="Arial" w:hAnsi="Arial" w:cs="Arial"/>
          <w:b/>
          <w:bCs/>
          <w:snapToGrid w:val="0"/>
          <w:sz w:val="22"/>
          <w:szCs w:val="22"/>
        </w:rPr>
        <w:t xml:space="preserve">GDP </w:t>
      </w:r>
      <w:r w:rsidR="000976CC">
        <w:rPr>
          <w:rFonts w:ascii="Arial" w:hAnsi="Arial" w:cs="Arial"/>
          <w:b/>
          <w:bCs/>
          <w:snapToGrid w:val="0"/>
          <w:sz w:val="22"/>
          <w:szCs w:val="22"/>
        </w:rPr>
        <w:t>i</w:t>
      </w:r>
      <w:r w:rsidR="00461B79" w:rsidRPr="00C642DD">
        <w:rPr>
          <w:rFonts w:ascii="Arial" w:hAnsi="Arial" w:cs="Arial"/>
          <w:b/>
          <w:bCs/>
          <w:snapToGrid w:val="0"/>
          <w:sz w:val="22"/>
          <w:szCs w:val="22"/>
        </w:rPr>
        <w:t xml:space="preserve">n </w:t>
      </w:r>
      <w:r w:rsidR="00A56942" w:rsidRPr="00C642DD">
        <w:rPr>
          <w:rFonts w:ascii="Arial" w:hAnsi="Arial" w:cs="Arial"/>
          <w:b/>
          <w:bCs/>
          <w:snapToGrid w:val="0"/>
          <w:sz w:val="22"/>
          <w:szCs w:val="22"/>
        </w:rPr>
        <w:t>Palestine</w:t>
      </w:r>
      <w:r w:rsidR="00F530F9" w:rsidRPr="00C642DD">
        <w:rPr>
          <w:rFonts w:ascii="Arial" w:hAnsi="Arial" w:cs="Arial"/>
          <w:b/>
          <w:bCs/>
          <w:snapToGrid w:val="0"/>
          <w:sz w:val="22"/>
          <w:szCs w:val="22"/>
        </w:rPr>
        <w:t>*</w:t>
      </w:r>
      <w:r w:rsidR="00A56942" w:rsidRPr="00C642DD">
        <w:rPr>
          <w:rFonts w:ascii="Arial" w:hAnsi="Arial" w:cs="Arial"/>
          <w:b/>
          <w:bCs/>
          <w:snapToGrid w:val="0"/>
          <w:sz w:val="22"/>
          <w:szCs w:val="22"/>
        </w:rPr>
        <w:t xml:space="preserve"> for</w:t>
      </w:r>
      <w:r w:rsidR="00461B79" w:rsidRPr="00C642DD">
        <w:rPr>
          <w:rFonts w:ascii="Arial" w:hAnsi="Arial" w:cs="Arial"/>
          <w:b/>
          <w:bCs/>
          <w:snapToGrid w:val="0"/>
          <w:sz w:val="22"/>
          <w:szCs w:val="22"/>
        </w:rPr>
        <w:t xml:space="preserve"> </w:t>
      </w:r>
      <w:r w:rsidR="002E1197" w:rsidRPr="00C642DD">
        <w:rPr>
          <w:rFonts w:ascii="Arial" w:hAnsi="Arial" w:cs="Arial"/>
          <w:b/>
          <w:bCs/>
          <w:snapToGrid w:val="0"/>
          <w:sz w:val="22"/>
          <w:szCs w:val="22"/>
        </w:rPr>
        <w:t>2004-2013</w:t>
      </w:r>
      <w:r w:rsidR="00461B79" w:rsidRPr="00C642DD">
        <w:rPr>
          <w:rFonts w:ascii="Arial" w:hAnsi="Arial" w:cs="Arial"/>
          <w:b/>
          <w:bCs/>
          <w:snapToGrid w:val="0"/>
          <w:sz w:val="22"/>
          <w:szCs w:val="22"/>
        </w:rPr>
        <w:t xml:space="preserve"> at </w:t>
      </w:r>
      <w:r w:rsidR="00EC05AF" w:rsidRPr="00C642DD">
        <w:rPr>
          <w:rFonts w:ascii="Arial" w:hAnsi="Arial" w:cs="Arial"/>
          <w:b/>
          <w:bCs/>
          <w:snapToGrid w:val="0"/>
          <w:sz w:val="22"/>
          <w:szCs w:val="22"/>
        </w:rPr>
        <w:t>current and constant prices</w:t>
      </w:r>
      <w:r w:rsidR="00262BFD" w:rsidRPr="00C642DD">
        <w:rPr>
          <w:rFonts w:ascii="Arial" w:hAnsi="Arial" w:cs="Arial"/>
          <w:b/>
          <w:bCs/>
          <w:snapToGrid w:val="0"/>
          <w:sz w:val="22"/>
          <w:szCs w:val="22"/>
        </w:rPr>
        <w:t xml:space="preserve"> (USD million)</w:t>
      </w:r>
    </w:p>
    <w:tbl>
      <w:tblPr>
        <w:tblStyle w:val="TableGrid"/>
        <w:tblW w:w="0" w:type="auto"/>
        <w:jc w:val="center"/>
        <w:tblInd w:w="143" w:type="dxa"/>
        <w:tblLayout w:type="fixed"/>
        <w:tblLook w:val="04A0"/>
      </w:tblPr>
      <w:tblGrid>
        <w:gridCol w:w="8929"/>
      </w:tblGrid>
      <w:tr w:rsidR="00995DA9" w:rsidTr="00A01641">
        <w:trPr>
          <w:trHeight w:val="4173"/>
          <w:jc w:val="center"/>
        </w:trPr>
        <w:tc>
          <w:tcPr>
            <w:tcW w:w="8929" w:type="dxa"/>
            <w:vAlign w:val="center"/>
          </w:tcPr>
          <w:p w:rsidR="00995DA9" w:rsidRDefault="00995DA9" w:rsidP="00A01641">
            <w:pPr>
              <w:bidi w:val="0"/>
              <w:jc w:val="center"/>
              <w:rPr>
                <w:b/>
                <w:bCs/>
                <w:snapToGrid w:val="0"/>
                <w:sz w:val="22"/>
                <w:szCs w:val="22"/>
              </w:rPr>
            </w:pPr>
            <w:r w:rsidRPr="00995DA9">
              <w:rPr>
                <w:b/>
                <w:bCs/>
                <w:noProof/>
                <w:snapToGrid w:val="0"/>
                <w:sz w:val="22"/>
                <w:szCs w:val="22"/>
                <w:lang w:eastAsia="en-US"/>
              </w:rPr>
              <w:drawing>
                <wp:inline distT="0" distB="0" distL="0" distR="0">
                  <wp:extent cx="5543550" cy="2552700"/>
                  <wp:effectExtent l="0" t="0" r="0"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5F5139" w:rsidRPr="005F5139" w:rsidRDefault="005F5139" w:rsidP="005F5139">
      <w:pPr>
        <w:bidi w:val="0"/>
        <w:rPr>
          <w:sz w:val="18"/>
          <w:szCs w:val="18"/>
        </w:rPr>
      </w:pPr>
      <w:r w:rsidRPr="005F5139">
        <w:rPr>
          <w:sz w:val="18"/>
          <w:szCs w:val="18"/>
        </w:rPr>
        <w:t>*The data excludes those parts of Jerusalem</w:t>
      </w:r>
      <w:r w:rsidR="00092B71">
        <w:rPr>
          <w:sz w:val="18"/>
          <w:szCs w:val="18"/>
        </w:rPr>
        <w:t xml:space="preserve"> governorate</w:t>
      </w:r>
      <w:r w:rsidRPr="005F5139">
        <w:rPr>
          <w:sz w:val="18"/>
          <w:szCs w:val="18"/>
        </w:rPr>
        <w:t xml:space="preserve"> which were annexed by Israel in 1967.</w:t>
      </w:r>
    </w:p>
    <w:p w:rsidR="00135117" w:rsidRPr="00A01641" w:rsidRDefault="00135117" w:rsidP="00135117">
      <w:pPr>
        <w:bidi w:val="0"/>
        <w:jc w:val="center"/>
        <w:rPr>
          <w:b/>
          <w:bCs/>
          <w:snapToGrid w:val="0"/>
        </w:rPr>
      </w:pPr>
    </w:p>
    <w:p w:rsidR="00182C55" w:rsidRPr="00C642DD" w:rsidRDefault="00182C55" w:rsidP="008D37A5">
      <w:pPr>
        <w:bidi w:val="0"/>
        <w:jc w:val="lowKashida"/>
        <w:rPr>
          <w:b/>
          <w:bCs/>
          <w:color w:val="000000" w:themeColor="text1"/>
        </w:rPr>
      </w:pPr>
      <w:r w:rsidRPr="00C642DD">
        <w:rPr>
          <w:b/>
          <w:bCs/>
          <w:color w:val="000000" w:themeColor="text1"/>
        </w:rPr>
        <w:t>1.1.3. Gross National Income</w:t>
      </w:r>
    </w:p>
    <w:p w:rsidR="00182C55" w:rsidRPr="00C642DD" w:rsidRDefault="00182C55" w:rsidP="00182C55">
      <w:pPr>
        <w:bidi w:val="0"/>
        <w:jc w:val="lowKashida"/>
        <w:rPr>
          <w:color w:val="000000" w:themeColor="text1"/>
        </w:rPr>
      </w:pPr>
      <w:r w:rsidRPr="00C642DD">
        <w:rPr>
          <w:color w:val="000000" w:themeColor="text1"/>
          <w:lang w:eastAsia="en-US"/>
        </w:rPr>
        <w:t>Th</w:t>
      </w:r>
      <w:r w:rsidR="005C1D84" w:rsidRPr="00C642DD">
        <w:rPr>
          <w:color w:val="000000" w:themeColor="text1"/>
          <w:lang w:eastAsia="en-US"/>
        </w:rPr>
        <w:t>is is th</w:t>
      </w:r>
      <w:r w:rsidRPr="00C642DD">
        <w:rPr>
          <w:color w:val="000000" w:themeColor="text1"/>
          <w:lang w:eastAsia="en-US"/>
        </w:rPr>
        <w:t xml:space="preserve">e gross value of the initial earned income of residents. It is the income incurred by </w:t>
      </w:r>
      <w:r w:rsidR="005C1D84" w:rsidRPr="00C642DD">
        <w:rPr>
          <w:color w:val="000000" w:themeColor="text1"/>
          <w:lang w:eastAsia="en-US"/>
        </w:rPr>
        <w:t xml:space="preserve">performing </w:t>
      </w:r>
      <w:r w:rsidRPr="00C642DD">
        <w:rPr>
          <w:color w:val="000000" w:themeColor="text1"/>
          <w:lang w:eastAsia="en-US"/>
        </w:rPr>
        <w:t>producti</w:t>
      </w:r>
      <w:r w:rsidR="005C1D84" w:rsidRPr="00C642DD">
        <w:rPr>
          <w:color w:val="000000" w:themeColor="text1"/>
          <w:lang w:eastAsia="en-US"/>
        </w:rPr>
        <w:t>ve</w:t>
      </w:r>
      <w:r w:rsidRPr="00C642DD">
        <w:rPr>
          <w:color w:val="000000" w:themeColor="text1"/>
          <w:lang w:eastAsia="en-US"/>
        </w:rPr>
        <w:t xml:space="preserve"> activities or by owning financial assets or land or subsoil assets.</w:t>
      </w:r>
    </w:p>
    <w:p w:rsidR="00661FB0" w:rsidRPr="00A01641" w:rsidRDefault="00661FB0" w:rsidP="00661FB0">
      <w:pPr>
        <w:bidi w:val="0"/>
        <w:rPr>
          <w:b/>
          <w:bCs/>
          <w:snapToGrid w:val="0"/>
          <w:color w:val="000000" w:themeColor="text1"/>
        </w:rPr>
      </w:pPr>
    </w:p>
    <w:p w:rsidR="00661FB0" w:rsidRPr="00C642DD" w:rsidRDefault="00661FB0" w:rsidP="00D4211C">
      <w:pPr>
        <w:bidi w:val="0"/>
        <w:jc w:val="center"/>
        <w:rPr>
          <w:rFonts w:ascii="Arial" w:hAnsi="Arial" w:cs="Arial"/>
          <w:b/>
          <w:bCs/>
          <w:snapToGrid w:val="0"/>
          <w:color w:val="000000" w:themeColor="text1"/>
          <w:sz w:val="22"/>
          <w:szCs w:val="22"/>
        </w:rPr>
      </w:pPr>
      <w:r w:rsidRPr="00C642DD">
        <w:rPr>
          <w:rFonts w:ascii="Arial" w:hAnsi="Arial" w:cs="Arial"/>
          <w:b/>
          <w:bCs/>
          <w:snapToGrid w:val="0"/>
          <w:color w:val="000000" w:themeColor="text1"/>
          <w:sz w:val="22"/>
          <w:szCs w:val="22"/>
        </w:rPr>
        <w:t>G</w:t>
      </w:r>
      <w:r w:rsidR="00D4211C">
        <w:rPr>
          <w:rFonts w:ascii="Arial" w:hAnsi="Arial" w:cs="Arial"/>
          <w:b/>
          <w:bCs/>
          <w:snapToGrid w:val="0"/>
          <w:color w:val="000000" w:themeColor="text1"/>
          <w:sz w:val="22"/>
          <w:szCs w:val="22"/>
        </w:rPr>
        <w:t xml:space="preserve">NI </w:t>
      </w:r>
      <w:r w:rsidR="00A348BE">
        <w:rPr>
          <w:rFonts w:ascii="Arial" w:hAnsi="Arial" w:cs="Arial"/>
          <w:b/>
          <w:bCs/>
          <w:snapToGrid w:val="0"/>
          <w:color w:val="000000" w:themeColor="text1"/>
          <w:sz w:val="22"/>
          <w:szCs w:val="22"/>
        </w:rPr>
        <w:t>i</w:t>
      </w:r>
      <w:r w:rsidRPr="00C642DD">
        <w:rPr>
          <w:rFonts w:ascii="Arial" w:hAnsi="Arial" w:cs="Arial"/>
          <w:b/>
          <w:bCs/>
          <w:snapToGrid w:val="0"/>
          <w:color w:val="000000" w:themeColor="text1"/>
          <w:sz w:val="22"/>
          <w:szCs w:val="22"/>
        </w:rPr>
        <w:t xml:space="preserve">n Palestine* for </w:t>
      </w:r>
      <w:r w:rsidR="002E1197" w:rsidRPr="00C642DD">
        <w:rPr>
          <w:rFonts w:ascii="Arial" w:hAnsi="Arial" w:cs="Arial"/>
          <w:b/>
          <w:bCs/>
          <w:snapToGrid w:val="0"/>
          <w:color w:val="000000" w:themeColor="text1"/>
          <w:sz w:val="22"/>
          <w:szCs w:val="22"/>
        </w:rPr>
        <w:t>2004-2013</w:t>
      </w:r>
      <w:r w:rsidRPr="00C642DD">
        <w:rPr>
          <w:rFonts w:ascii="Arial" w:hAnsi="Arial" w:cs="Arial"/>
          <w:b/>
          <w:bCs/>
          <w:snapToGrid w:val="0"/>
          <w:color w:val="000000" w:themeColor="text1"/>
          <w:sz w:val="22"/>
          <w:szCs w:val="22"/>
        </w:rPr>
        <w:t xml:space="preserve"> at current and constant </w:t>
      </w:r>
      <w:proofErr w:type="gramStart"/>
      <w:r w:rsidRPr="00C642DD">
        <w:rPr>
          <w:rFonts w:ascii="Arial" w:hAnsi="Arial" w:cs="Arial"/>
          <w:b/>
          <w:bCs/>
          <w:snapToGrid w:val="0"/>
          <w:color w:val="000000" w:themeColor="text1"/>
          <w:sz w:val="22"/>
          <w:szCs w:val="22"/>
        </w:rPr>
        <w:t>prices  (</w:t>
      </w:r>
      <w:proofErr w:type="gramEnd"/>
      <w:r w:rsidRPr="00C642DD">
        <w:rPr>
          <w:rFonts w:ascii="Arial" w:hAnsi="Arial" w:cs="Arial"/>
          <w:b/>
          <w:bCs/>
          <w:snapToGrid w:val="0"/>
          <w:color w:val="000000" w:themeColor="text1"/>
          <w:sz w:val="22"/>
          <w:szCs w:val="22"/>
        </w:rPr>
        <w:t>USD million)</w:t>
      </w:r>
    </w:p>
    <w:tbl>
      <w:tblPr>
        <w:tblStyle w:val="TableGrid"/>
        <w:tblW w:w="0" w:type="auto"/>
        <w:jc w:val="center"/>
        <w:tblLook w:val="04A0"/>
      </w:tblPr>
      <w:tblGrid>
        <w:gridCol w:w="9037"/>
      </w:tblGrid>
      <w:tr w:rsidR="007C2712" w:rsidRPr="007C2712" w:rsidTr="00A01641">
        <w:trPr>
          <w:trHeight w:val="3978"/>
          <w:jc w:val="center"/>
        </w:trPr>
        <w:tc>
          <w:tcPr>
            <w:tcW w:w="9037" w:type="dxa"/>
            <w:vAlign w:val="center"/>
          </w:tcPr>
          <w:p w:rsidR="007C2712" w:rsidRPr="00A01641" w:rsidRDefault="007C2712" w:rsidP="00A01641">
            <w:pPr>
              <w:pStyle w:val="BodyText"/>
              <w:jc w:val="center"/>
              <w:rPr>
                <w:b/>
                <w:bCs/>
                <w:sz w:val="22"/>
                <w:szCs w:val="22"/>
              </w:rPr>
            </w:pPr>
            <w:r w:rsidRPr="00756F87">
              <w:rPr>
                <w:b/>
                <w:bCs/>
                <w:sz w:val="22"/>
                <w:szCs w:val="22"/>
                <w:rtl/>
              </w:rPr>
              <w:drawing>
                <wp:inline distT="0" distB="0" distL="0" distR="0">
                  <wp:extent cx="5514975" cy="2390775"/>
                  <wp:effectExtent l="0" t="0" r="0" b="0"/>
                  <wp:docPr id="8"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3C37CB" w:rsidRPr="005F5139" w:rsidRDefault="003C37CB" w:rsidP="003C37CB">
      <w:pPr>
        <w:bidi w:val="0"/>
        <w:rPr>
          <w:sz w:val="18"/>
          <w:szCs w:val="18"/>
        </w:rPr>
      </w:pPr>
      <w:r w:rsidRPr="005F5139">
        <w:rPr>
          <w:sz w:val="18"/>
          <w:szCs w:val="18"/>
        </w:rPr>
        <w:t xml:space="preserve">*The data excludes those parts of Jerusalem </w:t>
      </w:r>
      <w:r w:rsidR="00EA1C9B">
        <w:rPr>
          <w:sz w:val="18"/>
          <w:szCs w:val="18"/>
        </w:rPr>
        <w:t xml:space="preserve">governorate </w:t>
      </w:r>
      <w:r w:rsidRPr="005F5139">
        <w:rPr>
          <w:sz w:val="18"/>
          <w:szCs w:val="18"/>
        </w:rPr>
        <w:t>which were annexed by Israel in 1967.</w:t>
      </w:r>
    </w:p>
    <w:p w:rsidR="00312F0E" w:rsidRDefault="00312F0E" w:rsidP="00182C55">
      <w:pPr>
        <w:bidi w:val="0"/>
        <w:jc w:val="lowKashida"/>
        <w:rPr>
          <w:rFonts w:asciiTheme="majorBidi" w:hAnsiTheme="majorBidi" w:cstheme="majorBidi"/>
          <w:b/>
          <w:bCs/>
          <w:color w:val="000000" w:themeColor="text1"/>
          <w:lang w:eastAsia="en-US"/>
        </w:rPr>
      </w:pPr>
    </w:p>
    <w:p w:rsidR="00182C55" w:rsidRPr="006F7FAC" w:rsidRDefault="00182C55" w:rsidP="00312F0E">
      <w:pPr>
        <w:bidi w:val="0"/>
        <w:jc w:val="lowKashida"/>
        <w:rPr>
          <w:rFonts w:asciiTheme="majorBidi" w:hAnsiTheme="majorBidi" w:cstheme="majorBidi"/>
          <w:b/>
          <w:bCs/>
          <w:color w:val="000000" w:themeColor="text1"/>
          <w:lang w:eastAsia="en-US"/>
        </w:rPr>
      </w:pPr>
      <w:r w:rsidRPr="006F7FAC">
        <w:rPr>
          <w:rFonts w:asciiTheme="majorBidi" w:hAnsiTheme="majorBidi" w:cstheme="majorBidi"/>
          <w:b/>
          <w:bCs/>
          <w:color w:val="000000" w:themeColor="text1"/>
          <w:lang w:eastAsia="en-US"/>
        </w:rPr>
        <w:t>1.1.4</w:t>
      </w:r>
      <w:r w:rsidR="009967D6">
        <w:rPr>
          <w:rFonts w:asciiTheme="majorBidi" w:hAnsiTheme="majorBidi" w:cstheme="majorBidi"/>
          <w:b/>
          <w:bCs/>
          <w:color w:val="000000" w:themeColor="text1"/>
          <w:lang w:eastAsia="en-US"/>
        </w:rPr>
        <w:t>.</w:t>
      </w:r>
      <w:r w:rsidRPr="006F7FAC">
        <w:rPr>
          <w:rFonts w:asciiTheme="majorBidi" w:hAnsiTheme="majorBidi" w:cstheme="majorBidi"/>
          <w:b/>
          <w:bCs/>
          <w:color w:val="000000" w:themeColor="text1"/>
          <w:lang w:eastAsia="en-US"/>
        </w:rPr>
        <w:t xml:space="preserve"> Gross National Disposable Income</w:t>
      </w:r>
    </w:p>
    <w:p w:rsidR="00182C55" w:rsidRPr="006F7FAC" w:rsidRDefault="00182C55" w:rsidP="00182C55">
      <w:pPr>
        <w:bidi w:val="0"/>
        <w:jc w:val="lowKashida"/>
        <w:rPr>
          <w:rFonts w:asciiTheme="majorBidi" w:hAnsiTheme="majorBidi" w:cstheme="majorBidi"/>
          <w:color w:val="000000" w:themeColor="text1"/>
          <w:lang w:eastAsia="en-US"/>
        </w:rPr>
      </w:pPr>
      <w:r w:rsidRPr="006F7FAC">
        <w:rPr>
          <w:rFonts w:asciiTheme="majorBidi" w:hAnsiTheme="majorBidi" w:cstheme="majorBidi"/>
          <w:color w:val="000000" w:themeColor="text1"/>
          <w:lang w:eastAsia="en-US"/>
        </w:rPr>
        <w:t>Th</w:t>
      </w:r>
      <w:r w:rsidR="00921D12">
        <w:rPr>
          <w:rFonts w:asciiTheme="majorBidi" w:hAnsiTheme="majorBidi" w:cstheme="majorBidi"/>
          <w:color w:val="000000" w:themeColor="text1"/>
          <w:lang w:eastAsia="en-US"/>
        </w:rPr>
        <w:t>is is th</w:t>
      </w:r>
      <w:r w:rsidRPr="006F7FAC">
        <w:rPr>
          <w:rFonts w:asciiTheme="majorBidi" w:hAnsiTheme="majorBidi" w:cstheme="majorBidi"/>
          <w:color w:val="000000" w:themeColor="text1"/>
          <w:lang w:eastAsia="en-US"/>
        </w:rPr>
        <w:t xml:space="preserve">e available income of residents </w:t>
      </w:r>
      <w:r w:rsidR="005264F2">
        <w:rPr>
          <w:rFonts w:asciiTheme="majorBidi" w:hAnsiTheme="majorBidi" w:cstheme="majorBidi"/>
          <w:color w:val="000000" w:themeColor="text1"/>
          <w:lang w:eastAsia="en-US"/>
        </w:rPr>
        <w:t>for</w:t>
      </w:r>
      <w:r w:rsidRPr="006F7FAC">
        <w:rPr>
          <w:rFonts w:asciiTheme="majorBidi" w:hAnsiTheme="majorBidi" w:cstheme="majorBidi"/>
          <w:color w:val="000000" w:themeColor="text1"/>
          <w:lang w:eastAsia="en-US"/>
        </w:rPr>
        <w:t xml:space="preserve"> spen</w:t>
      </w:r>
      <w:r w:rsidR="005264F2">
        <w:rPr>
          <w:rFonts w:asciiTheme="majorBidi" w:hAnsiTheme="majorBidi" w:cstheme="majorBidi"/>
          <w:color w:val="000000" w:themeColor="text1"/>
          <w:lang w:eastAsia="en-US"/>
        </w:rPr>
        <w:t xml:space="preserve">ding </w:t>
      </w:r>
      <w:r w:rsidRPr="006F7FAC">
        <w:rPr>
          <w:rFonts w:asciiTheme="majorBidi" w:hAnsiTheme="majorBidi" w:cstheme="majorBidi"/>
          <w:color w:val="000000" w:themeColor="text1"/>
          <w:lang w:eastAsia="en-US"/>
        </w:rPr>
        <w:t xml:space="preserve">on </w:t>
      </w:r>
      <w:r w:rsidR="005264F2">
        <w:rPr>
          <w:rFonts w:asciiTheme="majorBidi" w:hAnsiTheme="majorBidi" w:cstheme="majorBidi"/>
          <w:color w:val="000000" w:themeColor="text1"/>
          <w:lang w:eastAsia="en-US"/>
        </w:rPr>
        <w:t xml:space="preserve">the </w:t>
      </w:r>
      <w:r w:rsidRPr="006F7FAC">
        <w:rPr>
          <w:rFonts w:asciiTheme="majorBidi" w:hAnsiTheme="majorBidi" w:cstheme="majorBidi"/>
          <w:color w:val="000000" w:themeColor="text1"/>
          <w:lang w:eastAsia="en-US"/>
        </w:rPr>
        <w:t xml:space="preserve">consumption of goods and services (locally produced or imported goods and services) or for savings. </w:t>
      </w:r>
    </w:p>
    <w:p w:rsidR="00471C8A" w:rsidRDefault="00471C8A" w:rsidP="00C75E7D">
      <w:pPr>
        <w:bidi w:val="0"/>
        <w:jc w:val="center"/>
        <w:rPr>
          <w:rFonts w:asciiTheme="minorBidi" w:hAnsiTheme="minorBidi" w:cstheme="minorBidi"/>
          <w:b/>
          <w:bCs/>
          <w:snapToGrid w:val="0"/>
          <w:color w:val="000000" w:themeColor="text1"/>
          <w:sz w:val="22"/>
          <w:szCs w:val="22"/>
        </w:rPr>
      </w:pPr>
    </w:p>
    <w:p w:rsidR="00BC0CBF" w:rsidRDefault="00BC0CBF" w:rsidP="00BC0CBF">
      <w:pPr>
        <w:bidi w:val="0"/>
        <w:jc w:val="center"/>
        <w:rPr>
          <w:rFonts w:asciiTheme="minorBidi" w:hAnsiTheme="minorBidi" w:cstheme="minorBidi"/>
          <w:b/>
          <w:bCs/>
          <w:snapToGrid w:val="0"/>
          <w:color w:val="000000" w:themeColor="text1"/>
          <w:sz w:val="22"/>
          <w:szCs w:val="22"/>
        </w:rPr>
      </w:pPr>
    </w:p>
    <w:p w:rsidR="00BC0CBF" w:rsidRDefault="00BC0CBF" w:rsidP="00BC0CBF">
      <w:pPr>
        <w:bidi w:val="0"/>
        <w:jc w:val="center"/>
        <w:rPr>
          <w:rFonts w:ascii="Arial" w:hAnsi="Arial" w:cs="Arial"/>
          <w:b/>
          <w:bCs/>
          <w:snapToGrid w:val="0"/>
          <w:color w:val="000000" w:themeColor="text1"/>
          <w:sz w:val="22"/>
          <w:szCs w:val="22"/>
        </w:rPr>
      </w:pPr>
    </w:p>
    <w:p w:rsidR="00A01641" w:rsidRDefault="00A01641">
      <w:pPr>
        <w:bidi w:val="0"/>
        <w:rPr>
          <w:rFonts w:ascii="Arial" w:hAnsi="Arial" w:cs="Arial"/>
          <w:b/>
          <w:bCs/>
          <w:snapToGrid w:val="0"/>
          <w:color w:val="000000" w:themeColor="text1"/>
          <w:sz w:val="22"/>
          <w:szCs w:val="22"/>
        </w:rPr>
      </w:pPr>
      <w:r>
        <w:rPr>
          <w:rFonts w:ascii="Arial" w:hAnsi="Arial" w:cs="Arial"/>
          <w:b/>
          <w:bCs/>
          <w:snapToGrid w:val="0"/>
          <w:color w:val="000000" w:themeColor="text1"/>
          <w:sz w:val="22"/>
          <w:szCs w:val="22"/>
        </w:rPr>
        <w:br w:type="page"/>
      </w:r>
    </w:p>
    <w:p w:rsidR="008E60BA" w:rsidRPr="00C642DD" w:rsidRDefault="00D4211C" w:rsidP="00471C8A">
      <w:pPr>
        <w:bidi w:val="0"/>
        <w:jc w:val="center"/>
        <w:rPr>
          <w:rFonts w:ascii="Arial" w:hAnsi="Arial" w:cs="Arial"/>
          <w:b/>
          <w:bCs/>
          <w:snapToGrid w:val="0"/>
          <w:color w:val="000000" w:themeColor="text1"/>
          <w:sz w:val="22"/>
          <w:szCs w:val="22"/>
        </w:rPr>
      </w:pPr>
      <w:r>
        <w:rPr>
          <w:rFonts w:ascii="Arial" w:hAnsi="Arial" w:cs="Arial"/>
          <w:b/>
          <w:bCs/>
          <w:snapToGrid w:val="0"/>
          <w:color w:val="000000" w:themeColor="text1"/>
          <w:sz w:val="22"/>
          <w:szCs w:val="22"/>
        </w:rPr>
        <w:lastRenderedPageBreak/>
        <w:t xml:space="preserve">GNDI </w:t>
      </w:r>
      <w:r w:rsidR="00F07ED7">
        <w:rPr>
          <w:rFonts w:ascii="Arial" w:hAnsi="Arial" w:cs="Arial"/>
          <w:b/>
          <w:bCs/>
          <w:snapToGrid w:val="0"/>
          <w:color w:val="000000" w:themeColor="text1"/>
          <w:sz w:val="22"/>
          <w:szCs w:val="22"/>
        </w:rPr>
        <w:t>i</w:t>
      </w:r>
      <w:r w:rsidR="003413EF" w:rsidRPr="00C642DD">
        <w:rPr>
          <w:rFonts w:ascii="Arial" w:hAnsi="Arial" w:cs="Arial"/>
          <w:b/>
          <w:bCs/>
          <w:snapToGrid w:val="0"/>
          <w:color w:val="000000" w:themeColor="text1"/>
          <w:sz w:val="22"/>
          <w:szCs w:val="22"/>
        </w:rPr>
        <w:t xml:space="preserve">n Palestine* for </w:t>
      </w:r>
      <w:r w:rsidR="00C75E7D" w:rsidRPr="00C642DD">
        <w:rPr>
          <w:rFonts w:ascii="Arial" w:hAnsi="Arial" w:cs="Arial"/>
          <w:b/>
          <w:bCs/>
          <w:snapToGrid w:val="0"/>
          <w:color w:val="000000" w:themeColor="text1"/>
          <w:sz w:val="22"/>
          <w:szCs w:val="22"/>
        </w:rPr>
        <w:t>2004-2013</w:t>
      </w:r>
      <w:r w:rsidR="003413EF" w:rsidRPr="00C642DD">
        <w:rPr>
          <w:rFonts w:ascii="Arial" w:hAnsi="Arial" w:cs="Arial"/>
          <w:b/>
          <w:bCs/>
          <w:snapToGrid w:val="0"/>
          <w:color w:val="000000" w:themeColor="text1"/>
          <w:sz w:val="22"/>
          <w:szCs w:val="22"/>
        </w:rPr>
        <w:t xml:space="preserve"> at current and</w:t>
      </w:r>
      <w:r w:rsidR="00F837D9" w:rsidRPr="00C642DD">
        <w:rPr>
          <w:rFonts w:ascii="Arial" w:hAnsi="Arial" w:cs="Arial"/>
          <w:b/>
          <w:bCs/>
          <w:snapToGrid w:val="0"/>
          <w:color w:val="000000" w:themeColor="text1"/>
          <w:sz w:val="22"/>
          <w:szCs w:val="22"/>
        </w:rPr>
        <w:t xml:space="preserve"> constant prices (USD million)</w:t>
      </w:r>
    </w:p>
    <w:tbl>
      <w:tblPr>
        <w:tblStyle w:val="TableGrid"/>
        <w:tblW w:w="0" w:type="auto"/>
        <w:jc w:val="center"/>
        <w:tblInd w:w="185" w:type="dxa"/>
        <w:tblLook w:val="04A0"/>
      </w:tblPr>
      <w:tblGrid>
        <w:gridCol w:w="8971"/>
      </w:tblGrid>
      <w:tr w:rsidR="00312F0E" w:rsidRPr="00312F0E" w:rsidTr="00A01641">
        <w:trPr>
          <w:jc w:val="center"/>
        </w:trPr>
        <w:tc>
          <w:tcPr>
            <w:tcW w:w="8971" w:type="dxa"/>
            <w:vAlign w:val="center"/>
          </w:tcPr>
          <w:p w:rsidR="00312F0E" w:rsidRPr="00312F0E" w:rsidRDefault="00312F0E" w:rsidP="00A01641">
            <w:pPr>
              <w:bidi w:val="0"/>
              <w:jc w:val="center"/>
            </w:pPr>
            <w:r w:rsidRPr="00312F0E">
              <w:rPr>
                <w:noProof/>
                <w:lang w:eastAsia="en-US"/>
              </w:rPr>
              <w:drawing>
                <wp:inline distT="0" distB="0" distL="0" distR="0">
                  <wp:extent cx="5553075" cy="2409825"/>
                  <wp:effectExtent l="0" t="0" r="0"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F837D9" w:rsidRPr="005F5139" w:rsidRDefault="00F837D9" w:rsidP="00F837D9">
      <w:pPr>
        <w:bidi w:val="0"/>
        <w:rPr>
          <w:sz w:val="18"/>
          <w:szCs w:val="18"/>
        </w:rPr>
      </w:pPr>
      <w:r w:rsidRPr="005F5139">
        <w:rPr>
          <w:sz w:val="18"/>
          <w:szCs w:val="18"/>
        </w:rPr>
        <w:t>*The data excludes those parts of Jerusalem</w:t>
      </w:r>
      <w:r w:rsidR="00015D61">
        <w:rPr>
          <w:sz w:val="18"/>
          <w:szCs w:val="18"/>
        </w:rPr>
        <w:t xml:space="preserve"> governorate</w:t>
      </w:r>
      <w:r w:rsidRPr="005F5139">
        <w:rPr>
          <w:sz w:val="18"/>
          <w:szCs w:val="18"/>
        </w:rPr>
        <w:t xml:space="preserve"> which were annexed by Israel in 1967.</w:t>
      </w:r>
    </w:p>
    <w:p w:rsidR="008D407A" w:rsidRPr="00BC0CBF" w:rsidRDefault="008D407A" w:rsidP="00F00180">
      <w:pPr>
        <w:bidi w:val="0"/>
        <w:jc w:val="lowKashida"/>
        <w:rPr>
          <w:b/>
          <w:bCs/>
          <w:color w:val="FF0000"/>
          <w:sz w:val="16"/>
          <w:szCs w:val="16"/>
        </w:rPr>
      </w:pPr>
    </w:p>
    <w:p w:rsidR="00D54D4E" w:rsidRPr="003A7559" w:rsidRDefault="00D54D4E" w:rsidP="008D407A">
      <w:pPr>
        <w:bidi w:val="0"/>
        <w:jc w:val="lowKashida"/>
        <w:rPr>
          <w:b/>
          <w:bCs/>
          <w:color w:val="000000" w:themeColor="text1"/>
        </w:rPr>
      </w:pPr>
      <w:r w:rsidRPr="003A7559">
        <w:rPr>
          <w:b/>
          <w:bCs/>
          <w:color w:val="000000" w:themeColor="text1"/>
        </w:rPr>
        <w:t>1.1.5</w:t>
      </w:r>
      <w:r w:rsidR="009967D6" w:rsidRPr="003A7559">
        <w:rPr>
          <w:b/>
          <w:bCs/>
          <w:color w:val="000000" w:themeColor="text1"/>
        </w:rPr>
        <w:t>.</w:t>
      </w:r>
      <w:r w:rsidRPr="003A7559">
        <w:rPr>
          <w:b/>
          <w:bCs/>
          <w:color w:val="000000" w:themeColor="text1"/>
        </w:rPr>
        <w:t xml:space="preserve"> Total </w:t>
      </w:r>
      <w:r w:rsidR="00F00180" w:rsidRPr="003A7559">
        <w:rPr>
          <w:b/>
          <w:bCs/>
          <w:color w:val="000000" w:themeColor="text1"/>
        </w:rPr>
        <w:t xml:space="preserve">Supply and </w:t>
      </w:r>
      <w:r w:rsidRPr="003A7559">
        <w:rPr>
          <w:b/>
          <w:bCs/>
          <w:color w:val="000000" w:themeColor="text1"/>
        </w:rPr>
        <w:t>Demand</w:t>
      </w:r>
    </w:p>
    <w:p w:rsidR="00F00180" w:rsidRPr="003A7559" w:rsidRDefault="000541B8" w:rsidP="005D6EAB">
      <w:pPr>
        <w:bidi w:val="0"/>
        <w:jc w:val="lowKashida"/>
        <w:rPr>
          <w:color w:val="000000" w:themeColor="text1"/>
          <w:lang w:eastAsia="en-US"/>
        </w:rPr>
      </w:pPr>
      <w:r w:rsidRPr="003A7559">
        <w:rPr>
          <w:color w:val="000000" w:themeColor="text1"/>
          <w:lang w:eastAsia="en-US"/>
        </w:rPr>
        <w:t xml:space="preserve">Supply and demand is perhaps one of the most fundamental concepts of </w:t>
      </w:r>
      <w:r w:rsidR="005264F2" w:rsidRPr="003A7559">
        <w:rPr>
          <w:color w:val="000000" w:themeColor="text1"/>
          <w:lang w:eastAsia="en-US"/>
        </w:rPr>
        <w:t xml:space="preserve">the </w:t>
      </w:r>
      <w:r w:rsidRPr="003A7559">
        <w:rPr>
          <w:color w:val="000000" w:themeColor="text1"/>
          <w:lang w:eastAsia="en-US"/>
        </w:rPr>
        <w:t>Palestinian econom</w:t>
      </w:r>
      <w:r w:rsidR="005264F2" w:rsidRPr="003A7559">
        <w:rPr>
          <w:color w:val="000000" w:themeColor="text1"/>
          <w:lang w:eastAsia="en-US"/>
        </w:rPr>
        <w:t>y</w:t>
      </w:r>
      <w:r w:rsidR="009967D6" w:rsidRPr="003A7559">
        <w:rPr>
          <w:color w:val="000000" w:themeColor="text1"/>
          <w:lang w:eastAsia="en-US"/>
        </w:rPr>
        <w:t xml:space="preserve">. Supply refers to </w:t>
      </w:r>
      <w:r w:rsidR="005264F2" w:rsidRPr="003A7559">
        <w:rPr>
          <w:color w:val="000000" w:themeColor="text1"/>
          <w:lang w:eastAsia="en-US"/>
        </w:rPr>
        <w:t xml:space="preserve">the </w:t>
      </w:r>
      <w:r w:rsidR="009967D6" w:rsidRPr="003A7559">
        <w:rPr>
          <w:color w:val="000000" w:themeColor="text1"/>
          <w:lang w:eastAsia="en-US"/>
        </w:rPr>
        <w:t xml:space="preserve">gross </w:t>
      </w:r>
      <w:r w:rsidR="005264F2" w:rsidRPr="003A7559">
        <w:rPr>
          <w:color w:val="000000" w:themeColor="text1"/>
          <w:lang w:eastAsia="en-US"/>
        </w:rPr>
        <w:t>o</w:t>
      </w:r>
      <w:r w:rsidR="009967D6" w:rsidRPr="003A7559">
        <w:rPr>
          <w:color w:val="000000" w:themeColor="text1"/>
          <w:lang w:eastAsia="en-US"/>
        </w:rPr>
        <w:t xml:space="preserve">utput and </w:t>
      </w:r>
      <w:r w:rsidR="005264F2" w:rsidRPr="003A7559">
        <w:rPr>
          <w:color w:val="000000" w:themeColor="text1"/>
          <w:lang w:eastAsia="en-US"/>
        </w:rPr>
        <w:t>i</w:t>
      </w:r>
      <w:r w:rsidR="000B2807" w:rsidRPr="003A7559">
        <w:rPr>
          <w:color w:val="000000" w:themeColor="text1"/>
          <w:lang w:eastAsia="en-US"/>
        </w:rPr>
        <w:t>mports of goods and se</w:t>
      </w:r>
      <w:r w:rsidR="009967D6" w:rsidRPr="003A7559">
        <w:rPr>
          <w:color w:val="000000" w:themeColor="text1"/>
          <w:lang w:eastAsia="en-US"/>
        </w:rPr>
        <w:t xml:space="preserve">rvices, while demand refers to </w:t>
      </w:r>
      <w:r w:rsidR="005264F2" w:rsidRPr="003A7559">
        <w:rPr>
          <w:color w:val="000000" w:themeColor="text1"/>
          <w:lang w:eastAsia="en-US"/>
        </w:rPr>
        <w:t>i</w:t>
      </w:r>
      <w:r w:rsidR="000B2807" w:rsidRPr="003A7559">
        <w:rPr>
          <w:color w:val="000000" w:themeColor="text1"/>
          <w:lang w:eastAsia="en-US"/>
        </w:rPr>
        <w:t>ntermediate consumption,</w:t>
      </w:r>
      <w:r w:rsidR="00B223C7" w:rsidRPr="003A7559">
        <w:rPr>
          <w:color w:val="000000" w:themeColor="text1"/>
          <w:lang w:eastAsia="en-US"/>
        </w:rPr>
        <w:t xml:space="preserve"> </w:t>
      </w:r>
      <w:r w:rsidR="005264F2" w:rsidRPr="003A7559">
        <w:rPr>
          <w:color w:val="000000" w:themeColor="text1"/>
          <w:lang w:eastAsia="en-US"/>
        </w:rPr>
        <w:t>f</w:t>
      </w:r>
      <w:r w:rsidR="00B223C7" w:rsidRPr="003A7559">
        <w:rPr>
          <w:color w:val="000000" w:themeColor="text1"/>
          <w:lang w:eastAsia="en-US"/>
        </w:rPr>
        <w:t>inal consumption,</w:t>
      </w:r>
      <w:r w:rsidR="00B223C7" w:rsidRPr="003A7559">
        <w:rPr>
          <w:color w:val="000000" w:themeColor="text1"/>
        </w:rPr>
        <w:t xml:space="preserve"> </w:t>
      </w:r>
      <w:r w:rsidR="005264F2" w:rsidRPr="003A7559">
        <w:rPr>
          <w:color w:val="000000" w:themeColor="text1"/>
        </w:rPr>
        <w:t>g</w:t>
      </w:r>
      <w:r w:rsidR="009967D6" w:rsidRPr="003A7559">
        <w:rPr>
          <w:color w:val="000000" w:themeColor="text1"/>
          <w:lang w:eastAsia="en-US"/>
        </w:rPr>
        <w:t xml:space="preserve">ross </w:t>
      </w:r>
      <w:r w:rsidR="005264F2" w:rsidRPr="003A7559">
        <w:rPr>
          <w:color w:val="000000" w:themeColor="text1"/>
          <w:lang w:eastAsia="en-US"/>
        </w:rPr>
        <w:t>c</w:t>
      </w:r>
      <w:r w:rsidR="009967D6" w:rsidRPr="003A7559">
        <w:rPr>
          <w:color w:val="000000" w:themeColor="text1"/>
          <w:lang w:eastAsia="en-US"/>
        </w:rPr>
        <w:t xml:space="preserve">apital </w:t>
      </w:r>
      <w:r w:rsidR="005264F2" w:rsidRPr="003A7559">
        <w:rPr>
          <w:color w:val="000000" w:themeColor="text1"/>
          <w:lang w:eastAsia="en-US"/>
        </w:rPr>
        <w:t>f</w:t>
      </w:r>
      <w:r w:rsidR="009967D6" w:rsidRPr="003A7559">
        <w:rPr>
          <w:color w:val="000000" w:themeColor="text1"/>
          <w:lang w:eastAsia="en-US"/>
        </w:rPr>
        <w:t xml:space="preserve">ormation, and </w:t>
      </w:r>
      <w:r w:rsidR="005264F2" w:rsidRPr="003A7559">
        <w:rPr>
          <w:color w:val="000000" w:themeColor="text1"/>
          <w:lang w:eastAsia="en-US"/>
        </w:rPr>
        <w:t>e</w:t>
      </w:r>
      <w:r w:rsidR="00B223C7" w:rsidRPr="003A7559">
        <w:rPr>
          <w:color w:val="000000" w:themeColor="text1"/>
          <w:lang w:eastAsia="en-US"/>
        </w:rPr>
        <w:t>xports of goods and services.</w:t>
      </w:r>
      <w:r w:rsidR="00E64649">
        <w:rPr>
          <w:color w:val="000000" w:themeColor="text1"/>
          <w:lang w:eastAsia="en-US"/>
        </w:rPr>
        <w:t xml:space="preserve"> Where</w:t>
      </w:r>
      <w:r w:rsidR="00C100CC">
        <w:rPr>
          <w:color w:val="000000" w:themeColor="text1"/>
          <w:lang w:eastAsia="en-US"/>
        </w:rPr>
        <w:t xml:space="preserve"> </w:t>
      </w:r>
      <w:proofErr w:type="gramStart"/>
      <w:r w:rsidR="00C100CC">
        <w:rPr>
          <w:color w:val="000000" w:themeColor="text1"/>
          <w:lang w:eastAsia="en-US"/>
        </w:rPr>
        <w:t>both</w:t>
      </w:r>
      <w:r w:rsidR="00686AA3">
        <w:rPr>
          <w:color w:val="000000" w:themeColor="text1"/>
          <w:lang w:eastAsia="en-US"/>
        </w:rPr>
        <w:t xml:space="preserve"> gross</w:t>
      </w:r>
      <w:r w:rsidR="00D66A08">
        <w:rPr>
          <w:color w:val="000000" w:themeColor="text1"/>
          <w:lang w:eastAsia="en-US"/>
        </w:rPr>
        <w:t xml:space="preserve"> supply or</w:t>
      </w:r>
      <w:proofErr w:type="gramEnd"/>
      <w:r w:rsidR="00D66A08">
        <w:rPr>
          <w:color w:val="000000" w:themeColor="text1"/>
          <w:lang w:eastAsia="en-US"/>
        </w:rPr>
        <w:t xml:space="preserve"> </w:t>
      </w:r>
      <w:r w:rsidR="00093358">
        <w:rPr>
          <w:color w:val="000000" w:themeColor="text1"/>
          <w:lang w:eastAsia="en-US"/>
        </w:rPr>
        <w:t>demand</w:t>
      </w:r>
      <w:r w:rsidR="00E64649">
        <w:rPr>
          <w:color w:val="000000" w:themeColor="text1"/>
          <w:lang w:eastAsia="en-US"/>
        </w:rPr>
        <w:t xml:space="preserve"> at current prices reached 26,455 USD million.</w:t>
      </w:r>
    </w:p>
    <w:p w:rsidR="00B3749D" w:rsidRPr="00700F2F" w:rsidRDefault="00B3749D" w:rsidP="00B3749D">
      <w:pPr>
        <w:bidi w:val="0"/>
        <w:jc w:val="lowKashida"/>
        <w:rPr>
          <w:rFonts w:asciiTheme="majorBidi" w:hAnsiTheme="majorBidi" w:cstheme="majorBidi"/>
          <w:color w:val="000000" w:themeColor="text1"/>
          <w:sz w:val="22"/>
          <w:szCs w:val="22"/>
          <w:lang w:eastAsia="en-US"/>
        </w:rPr>
      </w:pPr>
    </w:p>
    <w:p w:rsidR="00D021EE" w:rsidRPr="00C642DD" w:rsidRDefault="005264F2" w:rsidP="00E05B72">
      <w:pPr>
        <w:bidi w:val="0"/>
        <w:jc w:val="center"/>
        <w:rPr>
          <w:rFonts w:ascii="Arial" w:hAnsi="Arial" w:cs="Arial"/>
          <w:b/>
          <w:bCs/>
          <w:color w:val="000000" w:themeColor="text1"/>
          <w:sz w:val="22"/>
          <w:szCs w:val="22"/>
          <w:lang w:eastAsia="en-US"/>
        </w:rPr>
      </w:pPr>
      <w:r w:rsidRPr="00C642DD">
        <w:rPr>
          <w:rFonts w:ascii="Arial" w:hAnsi="Arial" w:cs="Arial"/>
          <w:b/>
          <w:bCs/>
          <w:color w:val="000000" w:themeColor="text1"/>
          <w:sz w:val="22"/>
          <w:szCs w:val="22"/>
          <w:lang w:eastAsia="en-US"/>
        </w:rPr>
        <w:t>Comp</w:t>
      </w:r>
      <w:r w:rsidR="00921D12" w:rsidRPr="00C642DD">
        <w:rPr>
          <w:rFonts w:ascii="Arial" w:hAnsi="Arial" w:cs="Arial"/>
          <w:b/>
          <w:bCs/>
          <w:color w:val="000000" w:themeColor="text1"/>
          <w:sz w:val="22"/>
          <w:szCs w:val="22"/>
          <w:lang w:eastAsia="en-US"/>
        </w:rPr>
        <w:t>o</w:t>
      </w:r>
      <w:r w:rsidRPr="00C642DD">
        <w:rPr>
          <w:rFonts w:ascii="Arial" w:hAnsi="Arial" w:cs="Arial"/>
          <w:b/>
          <w:bCs/>
          <w:color w:val="000000" w:themeColor="text1"/>
          <w:sz w:val="22"/>
          <w:szCs w:val="22"/>
          <w:lang w:eastAsia="en-US"/>
        </w:rPr>
        <w:t>nents of s</w:t>
      </w:r>
      <w:r w:rsidR="00B3749D" w:rsidRPr="00C642DD">
        <w:rPr>
          <w:rFonts w:ascii="Arial" w:hAnsi="Arial" w:cs="Arial"/>
          <w:b/>
          <w:bCs/>
          <w:color w:val="000000" w:themeColor="text1"/>
          <w:sz w:val="22"/>
          <w:szCs w:val="22"/>
          <w:lang w:eastAsia="en-US"/>
        </w:rPr>
        <w:t xml:space="preserve">upply and </w:t>
      </w:r>
      <w:r w:rsidR="00E05B72" w:rsidRPr="00C642DD">
        <w:rPr>
          <w:rFonts w:ascii="Arial" w:hAnsi="Arial" w:cs="Arial"/>
          <w:b/>
          <w:bCs/>
          <w:color w:val="000000" w:themeColor="text1"/>
          <w:sz w:val="22"/>
          <w:szCs w:val="22"/>
          <w:lang w:eastAsia="en-US"/>
        </w:rPr>
        <w:t>d</w:t>
      </w:r>
      <w:r w:rsidR="00B3749D" w:rsidRPr="00C642DD">
        <w:rPr>
          <w:rFonts w:ascii="Arial" w:hAnsi="Arial" w:cs="Arial"/>
          <w:b/>
          <w:bCs/>
          <w:color w:val="000000" w:themeColor="text1"/>
          <w:sz w:val="22"/>
          <w:szCs w:val="22"/>
          <w:lang w:eastAsia="en-US"/>
        </w:rPr>
        <w:t xml:space="preserve">emand </w:t>
      </w:r>
      <w:r w:rsidR="00241054" w:rsidRPr="00C642DD">
        <w:rPr>
          <w:rFonts w:ascii="Arial" w:hAnsi="Arial" w:cs="Arial"/>
          <w:b/>
          <w:bCs/>
          <w:color w:val="000000" w:themeColor="text1"/>
          <w:sz w:val="22"/>
          <w:szCs w:val="22"/>
          <w:lang w:eastAsia="en-US"/>
        </w:rPr>
        <w:t xml:space="preserve">in </w:t>
      </w:r>
      <w:r w:rsidR="00015D61" w:rsidRPr="00C642DD">
        <w:rPr>
          <w:rFonts w:ascii="Arial" w:hAnsi="Arial" w:cs="Arial"/>
          <w:b/>
          <w:bCs/>
          <w:color w:val="000000" w:themeColor="text1"/>
          <w:sz w:val="22"/>
          <w:szCs w:val="22"/>
          <w:lang w:eastAsia="en-US"/>
        </w:rPr>
        <w:t xml:space="preserve">the </w:t>
      </w:r>
      <w:r w:rsidR="00241054" w:rsidRPr="00C642DD">
        <w:rPr>
          <w:rFonts w:ascii="Arial" w:hAnsi="Arial" w:cs="Arial"/>
          <w:b/>
          <w:bCs/>
          <w:color w:val="000000" w:themeColor="text1"/>
          <w:sz w:val="22"/>
          <w:szCs w:val="22"/>
          <w:lang w:eastAsia="en-US"/>
        </w:rPr>
        <w:t xml:space="preserve">Palestinian </w:t>
      </w:r>
      <w:r w:rsidR="00A73E4B" w:rsidRPr="00C642DD">
        <w:rPr>
          <w:rFonts w:ascii="Arial" w:hAnsi="Arial" w:cs="Arial"/>
          <w:b/>
          <w:bCs/>
          <w:color w:val="000000" w:themeColor="text1"/>
          <w:sz w:val="22"/>
          <w:szCs w:val="22"/>
          <w:lang w:eastAsia="en-US"/>
        </w:rPr>
        <w:t>economy</w:t>
      </w:r>
      <w:r w:rsidR="00B3749D" w:rsidRPr="00C642DD">
        <w:rPr>
          <w:rFonts w:ascii="Arial" w:hAnsi="Arial" w:cs="Arial"/>
          <w:b/>
          <w:bCs/>
          <w:color w:val="000000" w:themeColor="text1"/>
          <w:sz w:val="22"/>
          <w:szCs w:val="22"/>
          <w:lang w:eastAsia="en-US"/>
        </w:rPr>
        <w:t xml:space="preserve"> for</w:t>
      </w:r>
      <w:r w:rsidR="00015D61" w:rsidRPr="00C642DD">
        <w:rPr>
          <w:rFonts w:ascii="Arial" w:hAnsi="Arial" w:cs="Arial"/>
          <w:b/>
          <w:bCs/>
          <w:color w:val="000000" w:themeColor="text1"/>
          <w:sz w:val="22"/>
          <w:szCs w:val="22"/>
          <w:lang w:eastAsia="en-US"/>
        </w:rPr>
        <w:t xml:space="preserve"> </w:t>
      </w:r>
      <w:r w:rsidR="00F760CE" w:rsidRPr="00C642DD">
        <w:rPr>
          <w:rFonts w:ascii="Arial" w:hAnsi="Arial" w:cs="Arial"/>
          <w:b/>
          <w:bCs/>
          <w:color w:val="000000" w:themeColor="text1"/>
          <w:sz w:val="22"/>
          <w:szCs w:val="22"/>
          <w:lang w:eastAsia="en-US"/>
        </w:rPr>
        <w:t>2013</w:t>
      </w:r>
    </w:p>
    <w:tbl>
      <w:tblPr>
        <w:tblStyle w:val="TableGrid"/>
        <w:tblW w:w="9242" w:type="dxa"/>
        <w:tblLayout w:type="fixed"/>
        <w:tblLook w:val="04A0"/>
      </w:tblPr>
      <w:tblGrid>
        <w:gridCol w:w="4480"/>
        <w:gridCol w:w="282"/>
        <w:gridCol w:w="4480"/>
      </w:tblGrid>
      <w:tr w:rsidR="008D407A" w:rsidTr="00700F2F">
        <w:tc>
          <w:tcPr>
            <w:tcW w:w="4480" w:type="dxa"/>
            <w:vAlign w:val="center"/>
          </w:tcPr>
          <w:p w:rsidR="008D407A" w:rsidRDefault="008D407A" w:rsidP="00700F2F">
            <w:pPr>
              <w:bidi w:val="0"/>
              <w:jc w:val="center"/>
              <w:rPr>
                <w:rFonts w:asciiTheme="majorBidi" w:hAnsiTheme="majorBidi" w:cstheme="majorBidi"/>
                <w:color w:val="FF0000"/>
                <w:lang w:eastAsia="en-US"/>
              </w:rPr>
            </w:pPr>
            <w:bookmarkStart w:id="0" w:name="OLE_LINK4"/>
            <w:r w:rsidRPr="008D407A">
              <w:rPr>
                <w:rFonts w:asciiTheme="majorBidi" w:hAnsiTheme="majorBidi" w:cstheme="majorBidi"/>
                <w:noProof/>
                <w:color w:val="FF0000"/>
                <w:lang w:eastAsia="en-US"/>
              </w:rPr>
              <w:drawing>
                <wp:inline distT="0" distB="0" distL="0" distR="0">
                  <wp:extent cx="2876550" cy="2447925"/>
                  <wp:effectExtent l="0" t="0" r="0" b="0"/>
                  <wp:docPr id="1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bookmarkEnd w:id="0"/>
          </w:p>
        </w:tc>
        <w:tc>
          <w:tcPr>
            <w:tcW w:w="282" w:type="dxa"/>
            <w:tcBorders>
              <w:top w:val="nil"/>
              <w:bottom w:val="nil"/>
            </w:tcBorders>
            <w:vAlign w:val="center"/>
          </w:tcPr>
          <w:p w:rsidR="008D407A" w:rsidRDefault="008D407A" w:rsidP="00700F2F">
            <w:pPr>
              <w:bidi w:val="0"/>
              <w:jc w:val="center"/>
              <w:rPr>
                <w:rFonts w:asciiTheme="majorBidi" w:hAnsiTheme="majorBidi" w:cstheme="majorBidi"/>
                <w:color w:val="FF0000"/>
                <w:lang w:eastAsia="en-US"/>
              </w:rPr>
            </w:pPr>
          </w:p>
        </w:tc>
        <w:tc>
          <w:tcPr>
            <w:tcW w:w="4480" w:type="dxa"/>
            <w:vAlign w:val="center"/>
          </w:tcPr>
          <w:p w:rsidR="008D407A" w:rsidRDefault="008D407A" w:rsidP="00700F2F">
            <w:pPr>
              <w:bidi w:val="0"/>
              <w:jc w:val="center"/>
              <w:rPr>
                <w:rFonts w:asciiTheme="majorBidi" w:hAnsiTheme="majorBidi" w:cstheme="majorBidi"/>
                <w:color w:val="FF0000"/>
                <w:lang w:eastAsia="en-US"/>
              </w:rPr>
            </w:pPr>
            <w:r w:rsidRPr="008D407A">
              <w:rPr>
                <w:rFonts w:asciiTheme="majorBidi" w:hAnsiTheme="majorBidi" w:cstheme="majorBidi"/>
                <w:noProof/>
                <w:color w:val="FF0000"/>
                <w:lang w:eastAsia="en-US"/>
              </w:rPr>
              <w:drawing>
                <wp:inline distT="0" distB="0" distL="0" distR="0">
                  <wp:extent cx="2581275" cy="2343150"/>
                  <wp:effectExtent l="19050" t="0" r="0" b="0"/>
                  <wp:docPr id="15"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B223C7" w:rsidRPr="00700F2F" w:rsidRDefault="00B223C7" w:rsidP="00B223C7">
      <w:pPr>
        <w:bidi w:val="0"/>
        <w:jc w:val="lowKashida"/>
        <w:rPr>
          <w:color w:val="FF0000"/>
          <w:sz w:val="28"/>
          <w:szCs w:val="28"/>
          <w:lang w:eastAsia="en-US"/>
        </w:rPr>
      </w:pPr>
    </w:p>
    <w:p w:rsidR="00461B79" w:rsidRPr="003A7559" w:rsidRDefault="00EA4E88" w:rsidP="00241054">
      <w:pPr>
        <w:bidi w:val="0"/>
        <w:jc w:val="lowKashida"/>
        <w:rPr>
          <w:b/>
          <w:bCs/>
        </w:rPr>
      </w:pPr>
      <w:r w:rsidRPr="003A7559">
        <w:rPr>
          <w:b/>
          <w:bCs/>
        </w:rPr>
        <w:t>1.1.6</w:t>
      </w:r>
      <w:r w:rsidR="00461B79" w:rsidRPr="003A7559">
        <w:rPr>
          <w:b/>
          <w:bCs/>
        </w:rPr>
        <w:t xml:space="preserve"> Per Capita Indicators</w:t>
      </w:r>
      <w:r w:rsidR="00D27235" w:rsidRPr="003A7559">
        <w:rPr>
          <w:b/>
          <w:bCs/>
        </w:rPr>
        <w:t xml:space="preserve"> </w:t>
      </w:r>
    </w:p>
    <w:p w:rsidR="00133051" w:rsidRPr="003A7559" w:rsidRDefault="00461B79" w:rsidP="006721B2">
      <w:pPr>
        <w:bidi w:val="0"/>
        <w:jc w:val="lowKashida"/>
      </w:pPr>
      <w:r w:rsidRPr="003A7559">
        <w:t>GDP</w:t>
      </w:r>
      <w:r w:rsidR="009D6C98" w:rsidRPr="003A7559">
        <w:t xml:space="preserve"> per capita</w:t>
      </w:r>
      <w:r w:rsidRPr="003A7559">
        <w:t>,</w:t>
      </w:r>
      <w:r w:rsidR="00A42256" w:rsidRPr="003A7559">
        <w:t xml:space="preserve"> </w:t>
      </w:r>
      <w:r w:rsidRPr="003A7559">
        <w:t>GNI</w:t>
      </w:r>
      <w:r w:rsidR="009D6C98" w:rsidRPr="003A7559">
        <w:t xml:space="preserve"> per </w:t>
      </w:r>
      <w:r w:rsidR="00693A3F" w:rsidRPr="003A7559">
        <w:t xml:space="preserve">capita </w:t>
      </w:r>
      <w:r w:rsidR="008504EA" w:rsidRPr="003A7559">
        <w:t>a</w:t>
      </w:r>
      <w:r w:rsidR="00DF57C7" w:rsidRPr="003A7559">
        <w:t>nd</w:t>
      </w:r>
      <w:r w:rsidR="00A42256" w:rsidRPr="003A7559">
        <w:t xml:space="preserve"> </w:t>
      </w:r>
      <w:r w:rsidRPr="003A7559">
        <w:t xml:space="preserve">GNDI </w:t>
      </w:r>
      <w:r w:rsidR="00A42256" w:rsidRPr="003A7559">
        <w:t>p</w:t>
      </w:r>
      <w:r w:rsidRPr="003A7559">
        <w:t xml:space="preserve">er </w:t>
      </w:r>
      <w:r w:rsidR="00A42256" w:rsidRPr="003A7559">
        <w:t>c</w:t>
      </w:r>
      <w:r w:rsidRPr="003A7559">
        <w:t>apita</w:t>
      </w:r>
      <w:r w:rsidR="009D6C98" w:rsidRPr="003A7559">
        <w:t xml:space="preserve"> </w:t>
      </w:r>
      <w:r w:rsidR="006721B2" w:rsidRPr="003A7559">
        <w:t xml:space="preserve">are important indicators </w:t>
      </w:r>
      <w:r w:rsidR="00EF7684" w:rsidRPr="003A7559">
        <w:t xml:space="preserve">that </w:t>
      </w:r>
      <w:r w:rsidR="006721B2" w:rsidRPr="003A7559">
        <w:t>measure different per capita indicators</w:t>
      </w:r>
      <w:r w:rsidR="00EF7684" w:rsidRPr="003A7559">
        <w:t>.</w:t>
      </w:r>
      <w:r w:rsidR="006721B2" w:rsidRPr="003A7559">
        <w:t xml:space="preserve"> </w:t>
      </w:r>
      <w:r w:rsidR="00EF7684" w:rsidRPr="003A7559">
        <w:t>The</w:t>
      </w:r>
      <w:r w:rsidR="00F806DD" w:rsidRPr="003A7559">
        <w:t>se</w:t>
      </w:r>
      <w:r w:rsidR="00EF7684" w:rsidRPr="003A7559">
        <w:t xml:space="preserve"> are </w:t>
      </w:r>
      <w:r w:rsidR="006721B2" w:rsidRPr="003A7559">
        <w:t xml:space="preserve">calculated by dividing the indicator by </w:t>
      </w:r>
      <w:r w:rsidR="00EF7684" w:rsidRPr="003A7559">
        <w:t xml:space="preserve">the number of </w:t>
      </w:r>
      <w:r w:rsidR="006721B2" w:rsidRPr="003A7559">
        <w:t xml:space="preserve">population </w:t>
      </w:r>
      <w:r w:rsidR="00517073" w:rsidRPr="003A7559">
        <w:t>over</w:t>
      </w:r>
      <w:r w:rsidR="006721B2" w:rsidRPr="003A7559">
        <w:t xml:space="preserve"> a specific period of time.</w:t>
      </w:r>
    </w:p>
    <w:p w:rsidR="007F12D3" w:rsidRDefault="007F12D3">
      <w:pPr>
        <w:bidi w:val="0"/>
        <w:rPr>
          <w:b/>
          <w:bCs/>
          <w:sz w:val="16"/>
          <w:szCs w:val="16"/>
        </w:rPr>
      </w:pPr>
      <w:r>
        <w:rPr>
          <w:b/>
          <w:bCs/>
          <w:sz w:val="16"/>
          <w:szCs w:val="16"/>
        </w:rPr>
        <w:br w:type="page"/>
      </w:r>
    </w:p>
    <w:p w:rsidR="00582357" w:rsidRPr="003A7559" w:rsidRDefault="00582357" w:rsidP="00582357">
      <w:pPr>
        <w:bidi w:val="0"/>
        <w:jc w:val="lowKashida"/>
        <w:rPr>
          <w:b/>
          <w:bCs/>
        </w:rPr>
      </w:pPr>
      <w:r w:rsidRPr="003A7559">
        <w:rPr>
          <w:b/>
          <w:bCs/>
        </w:rPr>
        <w:lastRenderedPageBreak/>
        <w:t xml:space="preserve">1.  </w:t>
      </w:r>
      <w:proofErr w:type="gramStart"/>
      <w:r w:rsidRPr="003A7559">
        <w:rPr>
          <w:b/>
          <w:bCs/>
        </w:rPr>
        <w:t>At</w:t>
      </w:r>
      <w:proofErr w:type="gramEnd"/>
      <w:r w:rsidRPr="003A7559">
        <w:rPr>
          <w:b/>
          <w:bCs/>
        </w:rPr>
        <w:t xml:space="preserve"> Current Prices:</w:t>
      </w:r>
    </w:p>
    <w:p w:rsidR="00582357" w:rsidRPr="003A7559" w:rsidRDefault="00582357" w:rsidP="006A1E1F">
      <w:pPr>
        <w:bidi w:val="0"/>
        <w:jc w:val="lowKashida"/>
      </w:pPr>
      <w:r w:rsidRPr="003A7559">
        <w:t xml:space="preserve">GDP, GNI and </w:t>
      </w:r>
      <w:r w:rsidR="004F3AAF" w:rsidRPr="003A7559">
        <w:t>GNDI per capita in Palestine</w:t>
      </w:r>
      <w:r w:rsidRPr="003A7559">
        <w:t xml:space="preserve"> for </w:t>
      </w:r>
      <w:r w:rsidR="001A3445" w:rsidRPr="003A7559">
        <w:t>2012</w:t>
      </w:r>
      <w:r w:rsidRPr="003A7559">
        <w:t xml:space="preserve"> and </w:t>
      </w:r>
      <w:r w:rsidR="001A3445" w:rsidRPr="003A7559">
        <w:t>2013</w:t>
      </w:r>
      <w:r w:rsidRPr="003A7559">
        <w:t xml:space="preserve"> at current prices (USD) were:</w:t>
      </w:r>
    </w:p>
    <w:p w:rsidR="00582357" w:rsidRPr="00471C8A" w:rsidRDefault="00582357" w:rsidP="00582357">
      <w:pPr>
        <w:bidi w:val="0"/>
        <w:rPr>
          <w:sz w:val="16"/>
          <w:szCs w:val="16"/>
        </w:rPr>
      </w:pPr>
      <w:r w:rsidRPr="00471C8A">
        <w:rPr>
          <w:sz w:val="16"/>
          <w:szCs w:val="16"/>
        </w:rPr>
        <w:t xml:space="preserve"> </w:t>
      </w:r>
    </w:p>
    <w:p w:rsidR="00582357" w:rsidRDefault="00582357" w:rsidP="00582357">
      <w:pPr>
        <w:bidi w:val="0"/>
        <w:ind w:left="-180"/>
        <w:rPr>
          <w:rFonts w:ascii="Arial" w:hAnsi="Arial" w:cs="Arial"/>
          <w:sz w:val="18"/>
          <w:szCs w:val="18"/>
          <w:lang w:eastAsia="en-US"/>
        </w:rPr>
      </w:pPr>
      <w:r>
        <w:rPr>
          <w:rFonts w:ascii="Arial" w:hAnsi="Arial" w:cs="Arial"/>
          <w:sz w:val="18"/>
          <w:szCs w:val="18"/>
          <w:lang w:eastAsia="en-US"/>
        </w:rPr>
        <w:t xml:space="preserve">    </w:t>
      </w:r>
      <w:r w:rsidR="0037241E">
        <w:rPr>
          <w:rFonts w:ascii="Arial" w:hAnsi="Arial" w:cs="Arial"/>
          <w:snapToGrid w:val="0"/>
          <w:sz w:val="18"/>
          <w:szCs w:val="18"/>
        </w:rPr>
        <w:t xml:space="preserve">   </w:t>
      </w:r>
      <w:r>
        <w:rPr>
          <w:rFonts w:ascii="Arial" w:hAnsi="Arial" w:cs="Arial"/>
          <w:snapToGrid w:val="0"/>
          <w:sz w:val="18"/>
          <w:szCs w:val="18"/>
        </w:rPr>
        <w:t>Value in USD</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74"/>
        <w:gridCol w:w="2109"/>
        <w:gridCol w:w="2106"/>
      </w:tblGrid>
      <w:tr w:rsidR="00582357" w:rsidTr="007F12D3">
        <w:trPr>
          <w:trHeight w:val="340"/>
          <w:jc w:val="center"/>
        </w:trPr>
        <w:tc>
          <w:tcPr>
            <w:tcW w:w="2602" w:type="pct"/>
            <w:tcBorders>
              <w:bottom w:val="nil"/>
              <w:right w:val="single" w:sz="4" w:space="0" w:color="auto"/>
            </w:tcBorders>
            <w:vAlign w:val="center"/>
          </w:tcPr>
          <w:p w:rsidR="00582357" w:rsidRDefault="00582357" w:rsidP="00197BCC">
            <w:pPr>
              <w:pStyle w:val="BodyText"/>
              <w:jc w:val="left"/>
              <w:rPr>
                <w:rFonts w:ascii="Arial" w:hAnsi="Arial" w:cs="Arial"/>
                <w:b/>
                <w:bCs/>
                <w:sz w:val="18"/>
                <w:szCs w:val="18"/>
              </w:rPr>
            </w:pPr>
            <w:r>
              <w:rPr>
                <w:rFonts w:ascii="Arial" w:hAnsi="Arial" w:cs="Arial"/>
                <w:b/>
                <w:bCs/>
                <w:sz w:val="18"/>
                <w:szCs w:val="18"/>
              </w:rPr>
              <w:t>Indicator</w:t>
            </w:r>
          </w:p>
        </w:tc>
        <w:tc>
          <w:tcPr>
            <w:tcW w:w="1200" w:type="pct"/>
            <w:tcBorders>
              <w:bottom w:val="single" w:sz="4" w:space="0" w:color="auto"/>
              <w:right w:val="single" w:sz="4" w:space="0" w:color="auto"/>
            </w:tcBorders>
            <w:vAlign w:val="center"/>
          </w:tcPr>
          <w:p w:rsidR="00582357" w:rsidRDefault="001A3445" w:rsidP="00197BCC">
            <w:pPr>
              <w:bidi w:val="0"/>
              <w:ind w:left="-109"/>
              <w:jc w:val="center"/>
              <w:rPr>
                <w:rFonts w:ascii="Arial" w:hAnsi="Arial" w:cs="Arial"/>
                <w:b/>
                <w:bCs/>
                <w:sz w:val="18"/>
                <w:szCs w:val="18"/>
                <w:lang w:eastAsia="en-US"/>
              </w:rPr>
            </w:pPr>
            <w:r>
              <w:rPr>
                <w:rFonts w:ascii="Arial" w:hAnsi="Arial" w:cs="Arial"/>
                <w:b/>
                <w:bCs/>
                <w:sz w:val="18"/>
                <w:szCs w:val="18"/>
                <w:lang w:eastAsia="en-US"/>
              </w:rPr>
              <w:t>2012</w:t>
            </w:r>
          </w:p>
        </w:tc>
        <w:tc>
          <w:tcPr>
            <w:tcW w:w="1198" w:type="pct"/>
            <w:tcBorders>
              <w:left w:val="single" w:sz="4" w:space="0" w:color="auto"/>
              <w:bottom w:val="single" w:sz="4" w:space="0" w:color="auto"/>
              <w:right w:val="single" w:sz="4" w:space="0" w:color="auto"/>
            </w:tcBorders>
            <w:vAlign w:val="center"/>
          </w:tcPr>
          <w:p w:rsidR="00582357" w:rsidRDefault="00582357" w:rsidP="00197BCC">
            <w:pPr>
              <w:bidi w:val="0"/>
              <w:ind w:left="-109"/>
              <w:jc w:val="center"/>
              <w:rPr>
                <w:rFonts w:ascii="Arial" w:hAnsi="Arial" w:cs="Arial"/>
                <w:b/>
                <w:bCs/>
                <w:sz w:val="18"/>
                <w:szCs w:val="18"/>
                <w:lang w:eastAsia="en-US"/>
              </w:rPr>
            </w:pPr>
            <w:r>
              <w:rPr>
                <w:rFonts w:ascii="Arial" w:hAnsi="Arial" w:cs="Arial"/>
                <w:b/>
                <w:bCs/>
                <w:sz w:val="18"/>
                <w:szCs w:val="18"/>
                <w:lang w:eastAsia="en-US"/>
              </w:rPr>
              <w:t>2013</w:t>
            </w:r>
          </w:p>
        </w:tc>
      </w:tr>
      <w:tr w:rsidR="00277101" w:rsidTr="007F12D3">
        <w:trPr>
          <w:trHeight w:val="340"/>
          <w:jc w:val="center"/>
        </w:trPr>
        <w:tc>
          <w:tcPr>
            <w:tcW w:w="2602" w:type="pct"/>
            <w:tcBorders>
              <w:bottom w:val="nil"/>
              <w:right w:val="single" w:sz="4" w:space="0" w:color="auto"/>
            </w:tcBorders>
            <w:vAlign w:val="center"/>
          </w:tcPr>
          <w:p w:rsidR="00277101" w:rsidRDefault="00277101" w:rsidP="007F12D3">
            <w:pPr>
              <w:pStyle w:val="xl34"/>
              <w:spacing w:before="0" w:after="0"/>
              <w:rPr>
                <w:rFonts w:ascii="Arial" w:hAnsi="Arial" w:cs="Arial"/>
                <w:sz w:val="18"/>
                <w:szCs w:val="18"/>
              </w:rPr>
            </w:pPr>
            <w:r>
              <w:rPr>
                <w:rFonts w:ascii="Arial" w:hAnsi="Arial" w:cs="Arial"/>
                <w:sz w:val="18"/>
                <w:szCs w:val="18"/>
              </w:rPr>
              <w:t xml:space="preserve">GDP Per Capita </w:t>
            </w:r>
          </w:p>
        </w:tc>
        <w:tc>
          <w:tcPr>
            <w:tcW w:w="1200" w:type="pct"/>
            <w:tcBorders>
              <w:bottom w:val="nil"/>
              <w:right w:val="single" w:sz="4" w:space="0" w:color="auto"/>
            </w:tcBorders>
            <w:vAlign w:val="center"/>
          </w:tcPr>
          <w:p w:rsidR="00277101" w:rsidRDefault="00277101" w:rsidP="007F12D3">
            <w:pPr>
              <w:bidi w:val="0"/>
              <w:ind w:right="410" w:firstLineChars="100" w:firstLine="180"/>
              <w:jc w:val="right"/>
              <w:rPr>
                <w:rFonts w:ascii="Arial" w:hAnsi="Arial" w:cs="Arial"/>
                <w:color w:val="000000"/>
                <w:sz w:val="18"/>
                <w:szCs w:val="18"/>
              </w:rPr>
            </w:pPr>
            <w:r>
              <w:rPr>
                <w:rFonts w:ascii="Arial" w:hAnsi="Arial" w:cs="Arial"/>
                <w:color w:val="000000"/>
                <w:sz w:val="18"/>
                <w:szCs w:val="18"/>
              </w:rPr>
              <w:t>2,787.2</w:t>
            </w:r>
          </w:p>
        </w:tc>
        <w:tc>
          <w:tcPr>
            <w:tcW w:w="1198" w:type="pct"/>
            <w:tcBorders>
              <w:top w:val="single" w:sz="4" w:space="0" w:color="auto"/>
              <w:left w:val="single" w:sz="4" w:space="0" w:color="auto"/>
              <w:bottom w:val="nil"/>
              <w:right w:val="single" w:sz="4" w:space="0" w:color="auto"/>
            </w:tcBorders>
            <w:vAlign w:val="center"/>
          </w:tcPr>
          <w:p w:rsidR="00277101" w:rsidRDefault="00277101" w:rsidP="007F12D3">
            <w:pPr>
              <w:bidi w:val="0"/>
              <w:ind w:right="410" w:firstLineChars="100" w:firstLine="180"/>
              <w:jc w:val="right"/>
              <w:rPr>
                <w:rFonts w:ascii="Arial" w:hAnsi="Arial" w:cs="Arial"/>
                <w:color w:val="000000"/>
                <w:sz w:val="18"/>
                <w:szCs w:val="18"/>
              </w:rPr>
            </w:pPr>
            <w:r>
              <w:rPr>
                <w:rFonts w:ascii="Arial" w:hAnsi="Arial" w:cs="Arial"/>
                <w:color w:val="000000"/>
                <w:sz w:val="18"/>
                <w:szCs w:val="18"/>
              </w:rPr>
              <w:t>2,992.2</w:t>
            </w:r>
          </w:p>
        </w:tc>
      </w:tr>
      <w:tr w:rsidR="00277101" w:rsidTr="007F12D3">
        <w:trPr>
          <w:trHeight w:val="340"/>
          <w:jc w:val="center"/>
        </w:trPr>
        <w:tc>
          <w:tcPr>
            <w:tcW w:w="2602" w:type="pct"/>
            <w:tcBorders>
              <w:top w:val="nil"/>
              <w:bottom w:val="nil"/>
              <w:right w:val="single" w:sz="4" w:space="0" w:color="auto"/>
            </w:tcBorders>
            <w:vAlign w:val="center"/>
          </w:tcPr>
          <w:p w:rsidR="00277101" w:rsidRDefault="00277101" w:rsidP="00197BCC">
            <w:pPr>
              <w:pStyle w:val="BodyText"/>
              <w:jc w:val="left"/>
              <w:rPr>
                <w:rFonts w:ascii="Arial" w:hAnsi="Arial" w:cs="Arial"/>
                <w:sz w:val="18"/>
                <w:szCs w:val="18"/>
              </w:rPr>
            </w:pPr>
            <w:r>
              <w:rPr>
                <w:rFonts w:ascii="Arial" w:hAnsi="Arial" w:cs="Arial"/>
                <w:sz w:val="18"/>
                <w:szCs w:val="18"/>
              </w:rPr>
              <w:t>GNI Per Capita</w:t>
            </w:r>
          </w:p>
        </w:tc>
        <w:tc>
          <w:tcPr>
            <w:tcW w:w="1200" w:type="pct"/>
            <w:tcBorders>
              <w:top w:val="nil"/>
              <w:bottom w:val="nil"/>
              <w:right w:val="single" w:sz="4" w:space="0" w:color="auto"/>
            </w:tcBorders>
            <w:vAlign w:val="center"/>
          </w:tcPr>
          <w:p w:rsidR="00277101" w:rsidRDefault="00277101" w:rsidP="007F12D3">
            <w:pPr>
              <w:bidi w:val="0"/>
              <w:ind w:right="410" w:firstLineChars="100" w:firstLine="180"/>
              <w:jc w:val="right"/>
              <w:rPr>
                <w:rFonts w:ascii="Arial" w:hAnsi="Arial" w:cs="Arial"/>
                <w:color w:val="000000"/>
                <w:sz w:val="18"/>
                <w:szCs w:val="18"/>
              </w:rPr>
            </w:pPr>
            <w:r>
              <w:rPr>
                <w:rFonts w:ascii="Arial" w:hAnsi="Arial" w:cs="Arial"/>
                <w:color w:val="000000"/>
                <w:sz w:val="18"/>
                <w:szCs w:val="18"/>
              </w:rPr>
              <w:t>2,999.1</w:t>
            </w:r>
          </w:p>
        </w:tc>
        <w:tc>
          <w:tcPr>
            <w:tcW w:w="1198" w:type="pct"/>
            <w:tcBorders>
              <w:top w:val="nil"/>
              <w:left w:val="single" w:sz="4" w:space="0" w:color="auto"/>
              <w:bottom w:val="nil"/>
              <w:right w:val="single" w:sz="4" w:space="0" w:color="auto"/>
            </w:tcBorders>
            <w:vAlign w:val="center"/>
          </w:tcPr>
          <w:p w:rsidR="00277101" w:rsidRDefault="00277101" w:rsidP="007F12D3">
            <w:pPr>
              <w:bidi w:val="0"/>
              <w:ind w:right="410" w:firstLineChars="100" w:firstLine="180"/>
              <w:jc w:val="right"/>
              <w:rPr>
                <w:rFonts w:ascii="Arial" w:hAnsi="Arial" w:cs="Arial"/>
                <w:color w:val="000000"/>
                <w:sz w:val="18"/>
                <w:szCs w:val="18"/>
              </w:rPr>
            </w:pPr>
            <w:r>
              <w:rPr>
                <w:rFonts w:ascii="Arial" w:hAnsi="Arial" w:cs="Arial"/>
                <w:color w:val="000000"/>
                <w:sz w:val="18"/>
                <w:szCs w:val="18"/>
              </w:rPr>
              <w:t>3,270.</w:t>
            </w:r>
            <w:r w:rsidR="004F3AAF">
              <w:rPr>
                <w:rFonts w:ascii="Arial" w:hAnsi="Arial" w:cs="Arial"/>
                <w:color w:val="000000"/>
                <w:sz w:val="18"/>
                <w:szCs w:val="18"/>
              </w:rPr>
              <w:t>5</w:t>
            </w:r>
          </w:p>
        </w:tc>
      </w:tr>
      <w:tr w:rsidR="00277101" w:rsidTr="007F12D3">
        <w:trPr>
          <w:trHeight w:val="340"/>
          <w:jc w:val="center"/>
        </w:trPr>
        <w:tc>
          <w:tcPr>
            <w:tcW w:w="2602" w:type="pct"/>
            <w:tcBorders>
              <w:top w:val="nil"/>
              <w:bottom w:val="single" w:sz="4" w:space="0" w:color="auto"/>
              <w:right w:val="single" w:sz="4" w:space="0" w:color="auto"/>
            </w:tcBorders>
            <w:vAlign w:val="center"/>
          </w:tcPr>
          <w:p w:rsidR="00277101" w:rsidRDefault="00277101" w:rsidP="00197BCC">
            <w:pPr>
              <w:pStyle w:val="BodyText"/>
              <w:jc w:val="left"/>
              <w:rPr>
                <w:rFonts w:ascii="Arial" w:hAnsi="Arial" w:cs="Arial"/>
                <w:sz w:val="18"/>
                <w:szCs w:val="18"/>
              </w:rPr>
            </w:pPr>
            <w:r>
              <w:rPr>
                <w:rFonts w:ascii="Arial" w:hAnsi="Arial" w:cs="Arial"/>
                <w:sz w:val="18"/>
                <w:szCs w:val="18"/>
              </w:rPr>
              <w:t>GNDI Per Capita</w:t>
            </w:r>
          </w:p>
        </w:tc>
        <w:tc>
          <w:tcPr>
            <w:tcW w:w="1200" w:type="pct"/>
            <w:tcBorders>
              <w:top w:val="nil"/>
              <w:bottom w:val="single" w:sz="4" w:space="0" w:color="auto"/>
              <w:right w:val="single" w:sz="4" w:space="0" w:color="auto"/>
            </w:tcBorders>
            <w:vAlign w:val="center"/>
          </w:tcPr>
          <w:p w:rsidR="00277101" w:rsidRDefault="00277101" w:rsidP="007F12D3">
            <w:pPr>
              <w:bidi w:val="0"/>
              <w:ind w:right="410" w:firstLineChars="100" w:firstLine="180"/>
              <w:jc w:val="right"/>
              <w:rPr>
                <w:rFonts w:ascii="Arial" w:hAnsi="Arial" w:cs="Arial"/>
                <w:color w:val="000000"/>
                <w:sz w:val="18"/>
                <w:szCs w:val="18"/>
              </w:rPr>
            </w:pPr>
            <w:r>
              <w:rPr>
                <w:rFonts w:ascii="Arial" w:hAnsi="Arial" w:cs="Arial"/>
                <w:color w:val="000000"/>
                <w:sz w:val="18"/>
                <w:szCs w:val="18"/>
              </w:rPr>
              <w:t>3,431.6</w:t>
            </w:r>
          </w:p>
        </w:tc>
        <w:tc>
          <w:tcPr>
            <w:tcW w:w="1198" w:type="pct"/>
            <w:tcBorders>
              <w:top w:val="nil"/>
              <w:left w:val="single" w:sz="4" w:space="0" w:color="auto"/>
              <w:bottom w:val="single" w:sz="4" w:space="0" w:color="auto"/>
              <w:right w:val="single" w:sz="4" w:space="0" w:color="auto"/>
            </w:tcBorders>
            <w:vAlign w:val="center"/>
          </w:tcPr>
          <w:p w:rsidR="00277101" w:rsidRDefault="00277101" w:rsidP="00C8087B">
            <w:pPr>
              <w:bidi w:val="0"/>
              <w:ind w:right="410" w:firstLineChars="100" w:firstLine="180"/>
              <w:jc w:val="right"/>
              <w:rPr>
                <w:rFonts w:ascii="Arial" w:hAnsi="Arial" w:cs="Arial"/>
                <w:color w:val="000000"/>
                <w:sz w:val="18"/>
                <w:szCs w:val="18"/>
              </w:rPr>
            </w:pPr>
            <w:r>
              <w:rPr>
                <w:rFonts w:ascii="Arial" w:hAnsi="Arial" w:cs="Arial"/>
                <w:color w:val="000000"/>
                <w:sz w:val="18"/>
                <w:szCs w:val="18"/>
              </w:rPr>
              <w:t>3,</w:t>
            </w:r>
            <w:r w:rsidR="00C8087B">
              <w:rPr>
                <w:rFonts w:ascii="Arial" w:hAnsi="Arial" w:cs="Arial"/>
                <w:color w:val="000000"/>
                <w:sz w:val="18"/>
                <w:szCs w:val="18"/>
              </w:rPr>
              <w:t>555</w:t>
            </w:r>
            <w:r w:rsidR="004F3AAF">
              <w:rPr>
                <w:rFonts w:ascii="Arial" w:hAnsi="Arial" w:cs="Arial"/>
                <w:color w:val="000000"/>
                <w:sz w:val="18"/>
                <w:szCs w:val="18"/>
              </w:rPr>
              <w:t>.</w:t>
            </w:r>
            <w:r w:rsidR="00C8087B">
              <w:rPr>
                <w:rFonts w:ascii="Arial" w:hAnsi="Arial" w:cs="Arial"/>
                <w:color w:val="000000"/>
                <w:sz w:val="18"/>
                <w:szCs w:val="18"/>
              </w:rPr>
              <w:t>6</w:t>
            </w:r>
          </w:p>
        </w:tc>
      </w:tr>
    </w:tbl>
    <w:p w:rsidR="00582357" w:rsidRPr="007F12D3" w:rsidRDefault="00582357" w:rsidP="00582357">
      <w:pPr>
        <w:bidi w:val="0"/>
        <w:rPr>
          <w:color w:val="FF0000"/>
          <w:rtl/>
          <w:lang w:val="en-GB"/>
        </w:rPr>
      </w:pPr>
    </w:p>
    <w:p w:rsidR="00582357" w:rsidRDefault="00582357" w:rsidP="00582357">
      <w:pPr>
        <w:bidi w:val="0"/>
        <w:jc w:val="lowKashida"/>
        <w:rPr>
          <w:b/>
          <w:bCs/>
        </w:rPr>
      </w:pPr>
      <w:r>
        <w:rPr>
          <w:b/>
          <w:bCs/>
        </w:rPr>
        <w:t xml:space="preserve">2.  </w:t>
      </w:r>
      <w:proofErr w:type="gramStart"/>
      <w:r>
        <w:rPr>
          <w:b/>
          <w:bCs/>
        </w:rPr>
        <w:t>At</w:t>
      </w:r>
      <w:proofErr w:type="gramEnd"/>
      <w:r>
        <w:rPr>
          <w:b/>
          <w:bCs/>
        </w:rPr>
        <w:t xml:space="preserve"> Constant Prices:</w:t>
      </w:r>
    </w:p>
    <w:p w:rsidR="00582357" w:rsidRDefault="00582357" w:rsidP="006A1E1F">
      <w:pPr>
        <w:bidi w:val="0"/>
        <w:jc w:val="lowKashida"/>
      </w:pPr>
      <w:r>
        <w:t>GDP, GNI and GNDI per capita in Palestin</w:t>
      </w:r>
      <w:r w:rsidR="004F3AAF">
        <w:t>e</w:t>
      </w:r>
      <w:r>
        <w:t xml:space="preserve"> for </w:t>
      </w:r>
      <w:r w:rsidR="001A3445">
        <w:t>2012</w:t>
      </w:r>
      <w:r>
        <w:t xml:space="preserve"> and </w:t>
      </w:r>
      <w:r w:rsidR="001A3445">
        <w:t>2013</w:t>
      </w:r>
      <w:r>
        <w:t xml:space="preserve"> at constant prices (USD) were:</w:t>
      </w:r>
    </w:p>
    <w:p w:rsidR="00582357" w:rsidRPr="00471C8A" w:rsidRDefault="00582357" w:rsidP="00582357">
      <w:pPr>
        <w:bidi w:val="0"/>
        <w:jc w:val="lowKashida"/>
        <w:rPr>
          <w:sz w:val="16"/>
          <w:szCs w:val="16"/>
          <w:rtl/>
          <w:lang w:val="en-GB"/>
        </w:rPr>
      </w:pPr>
    </w:p>
    <w:p w:rsidR="00582357" w:rsidRDefault="00582357" w:rsidP="00582357">
      <w:pPr>
        <w:bidi w:val="0"/>
        <w:ind w:left="-180"/>
        <w:rPr>
          <w:rFonts w:cs="Simplified Arabic"/>
          <w:rtl/>
          <w:lang w:val="en-GB"/>
        </w:rPr>
      </w:pPr>
      <w:r>
        <w:rPr>
          <w:rFonts w:ascii="Arial" w:hAnsi="Arial" w:cs="Arial"/>
          <w:sz w:val="18"/>
          <w:szCs w:val="18"/>
          <w:lang w:eastAsia="en-US"/>
        </w:rPr>
        <w:t xml:space="preserve">   </w:t>
      </w:r>
      <w:r w:rsidR="0037241E">
        <w:rPr>
          <w:rFonts w:ascii="Arial" w:hAnsi="Arial" w:cs="Arial"/>
          <w:sz w:val="18"/>
          <w:szCs w:val="18"/>
          <w:lang w:eastAsia="en-US"/>
        </w:rPr>
        <w:t xml:space="preserve">  </w:t>
      </w:r>
      <w:r>
        <w:rPr>
          <w:rFonts w:ascii="Arial" w:hAnsi="Arial" w:cs="Arial"/>
          <w:sz w:val="18"/>
          <w:szCs w:val="18"/>
          <w:lang w:eastAsia="en-US"/>
        </w:rPr>
        <w:t xml:space="preserve"> </w:t>
      </w:r>
      <w:r w:rsidR="0037241E">
        <w:rPr>
          <w:rFonts w:ascii="Arial" w:hAnsi="Arial" w:cs="Arial"/>
          <w:snapToGrid w:val="0"/>
          <w:sz w:val="18"/>
          <w:szCs w:val="18"/>
        </w:rPr>
        <w:t xml:space="preserve"> </w:t>
      </w:r>
      <w:r>
        <w:rPr>
          <w:rFonts w:ascii="Arial" w:hAnsi="Arial" w:cs="Arial"/>
          <w:snapToGrid w:val="0"/>
          <w:sz w:val="18"/>
          <w:szCs w:val="18"/>
        </w:rPr>
        <w:t xml:space="preserve">Value </w:t>
      </w:r>
      <w:proofErr w:type="gramStart"/>
      <w:r>
        <w:rPr>
          <w:rFonts w:ascii="Arial" w:hAnsi="Arial" w:cs="Arial"/>
          <w:snapToGrid w:val="0"/>
          <w:sz w:val="18"/>
          <w:szCs w:val="18"/>
        </w:rPr>
        <w:t>In</w:t>
      </w:r>
      <w:proofErr w:type="gramEnd"/>
      <w:r>
        <w:rPr>
          <w:rFonts w:ascii="Arial" w:hAnsi="Arial" w:cs="Arial"/>
          <w:snapToGrid w:val="0"/>
          <w:sz w:val="18"/>
          <w:szCs w:val="18"/>
        </w:rPr>
        <w:t xml:space="preserve"> USD</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74"/>
        <w:gridCol w:w="2109"/>
        <w:gridCol w:w="2106"/>
      </w:tblGrid>
      <w:tr w:rsidR="00582357" w:rsidTr="007F12D3">
        <w:trPr>
          <w:trHeight w:val="340"/>
          <w:jc w:val="center"/>
        </w:trPr>
        <w:tc>
          <w:tcPr>
            <w:tcW w:w="2602" w:type="pct"/>
            <w:tcBorders>
              <w:bottom w:val="nil"/>
              <w:right w:val="single" w:sz="4" w:space="0" w:color="auto"/>
            </w:tcBorders>
            <w:vAlign w:val="center"/>
          </w:tcPr>
          <w:p w:rsidR="00582357" w:rsidRDefault="00582357" w:rsidP="00197BCC">
            <w:pPr>
              <w:pStyle w:val="BodyText"/>
              <w:jc w:val="left"/>
              <w:rPr>
                <w:rFonts w:ascii="Arial" w:hAnsi="Arial" w:cs="Arial"/>
                <w:b/>
                <w:bCs/>
                <w:sz w:val="18"/>
                <w:szCs w:val="18"/>
              </w:rPr>
            </w:pPr>
            <w:r>
              <w:rPr>
                <w:rFonts w:ascii="Arial" w:hAnsi="Arial" w:cs="Arial"/>
                <w:b/>
                <w:bCs/>
                <w:sz w:val="18"/>
                <w:szCs w:val="18"/>
              </w:rPr>
              <w:t>Indicator</w:t>
            </w:r>
          </w:p>
        </w:tc>
        <w:tc>
          <w:tcPr>
            <w:tcW w:w="1200" w:type="pct"/>
            <w:tcBorders>
              <w:left w:val="single" w:sz="4" w:space="0" w:color="auto"/>
              <w:bottom w:val="single" w:sz="4" w:space="0" w:color="auto"/>
              <w:right w:val="single" w:sz="4" w:space="0" w:color="auto"/>
            </w:tcBorders>
            <w:vAlign w:val="center"/>
          </w:tcPr>
          <w:p w:rsidR="00582357" w:rsidRDefault="001A3445" w:rsidP="00197BCC">
            <w:pPr>
              <w:bidi w:val="0"/>
              <w:ind w:left="-109"/>
              <w:jc w:val="center"/>
              <w:rPr>
                <w:rFonts w:ascii="Arial" w:hAnsi="Arial" w:cs="Arial"/>
                <w:b/>
                <w:bCs/>
                <w:sz w:val="18"/>
                <w:szCs w:val="18"/>
                <w:lang w:eastAsia="en-US"/>
              </w:rPr>
            </w:pPr>
            <w:r>
              <w:rPr>
                <w:rFonts w:ascii="Arial" w:hAnsi="Arial" w:cs="Arial"/>
                <w:b/>
                <w:bCs/>
                <w:sz w:val="18"/>
                <w:szCs w:val="18"/>
                <w:lang w:val="en-GB" w:eastAsia="en-US"/>
              </w:rPr>
              <w:t>2012</w:t>
            </w:r>
          </w:p>
        </w:tc>
        <w:tc>
          <w:tcPr>
            <w:tcW w:w="1198" w:type="pct"/>
            <w:tcBorders>
              <w:left w:val="single" w:sz="4" w:space="0" w:color="auto"/>
              <w:bottom w:val="single" w:sz="4" w:space="0" w:color="auto"/>
              <w:right w:val="single" w:sz="4" w:space="0" w:color="auto"/>
            </w:tcBorders>
            <w:vAlign w:val="center"/>
          </w:tcPr>
          <w:p w:rsidR="00582357" w:rsidRDefault="00582357" w:rsidP="00197BCC">
            <w:pPr>
              <w:bidi w:val="0"/>
              <w:ind w:left="-109"/>
              <w:jc w:val="center"/>
              <w:rPr>
                <w:rFonts w:ascii="Arial" w:hAnsi="Arial" w:cs="Arial"/>
                <w:b/>
                <w:bCs/>
                <w:sz w:val="18"/>
                <w:szCs w:val="18"/>
                <w:lang w:eastAsia="en-US"/>
              </w:rPr>
            </w:pPr>
            <w:r>
              <w:rPr>
                <w:rFonts w:ascii="Arial" w:hAnsi="Arial" w:cs="Arial"/>
                <w:b/>
                <w:bCs/>
                <w:sz w:val="18"/>
                <w:szCs w:val="18"/>
                <w:lang w:val="en-GB" w:eastAsia="en-US"/>
              </w:rPr>
              <w:t>2013</w:t>
            </w:r>
          </w:p>
        </w:tc>
      </w:tr>
      <w:tr w:rsidR="00277101" w:rsidTr="007F12D3">
        <w:trPr>
          <w:trHeight w:val="340"/>
          <w:jc w:val="center"/>
        </w:trPr>
        <w:tc>
          <w:tcPr>
            <w:tcW w:w="2602" w:type="pct"/>
            <w:tcBorders>
              <w:bottom w:val="nil"/>
              <w:right w:val="single" w:sz="4" w:space="0" w:color="auto"/>
            </w:tcBorders>
            <w:vAlign w:val="center"/>
          </w:tcPr>
          <w:p w:rsidR="00277101" w:rsidRDefault="00277101" w:rsidP="007F12D3">
            <w:pPr>
              <w:pStyle w:val="xl34"/>
              <w:spacing w:before="0" w:after="0"/>
              <w:rPr>
                <w:rFonts w:ascii="Arial" w:hAnsi="Arial" w:cs="Arial"/>
                <w:sz w:val="18"/>
                <w:szCs w:val="18"/>
              </w:rPr>
            </w:pPr>
            <w:r>
              <w:rPr>
                <w:rFonts w:ascii="Arial" w:hAnsi="Arial" w:cs="Arial"/>
                <w:sz w:val="18"/>
                <w:szCs w:val="18"/>
              </w:rPr>
              <w:t xml:space="preserve">GDP Per Capita </w:t>
            </w:r>
          </w:p>
        </w:tc>
        <w:tc>
          <w:tcPr>
            <w:tcW w:w="1200" w:type="pct"/>
            <w:tcBorders>
              <w:top w:val="single" w:sz="4" w:space="0" w:color="auto"/>
              <w:left w:val="nil"/>
              <w:bottom w:val="nil"/>
              <w:right w:val="single" w:sz="4" w:space="0" w:color="auto"/>
            </w:tcBorders>
            <w:vAlign w:val="center"/>
          </w:tcPr>
          <w:p w:rsidR="00277101" w:rsidRPr="007F4472" w:rsidRDefault="00277101" w:rsidP="007F12D3">
            <w:pPr>
              <w:bidi w:val="0"/>
              <w:ind w:right="410" w:firstLineChars="100" w:firstLine="180"/>
              <w:jc w:val="right"/>
              <w:rPr>
                <w:rFonts w:ascii="Arial" w:hAnsi="Arial" w:cs="Arial"/>
                <w:color w:val="000000"/>
                <w:sz w:val="18"/>
                <w:szCs w:val="18"/>
              </w:rPr>
            </w:pPr>
            <w:r w:rsidRPr="007F4472">
              <w:rPr>
                <w:rFonts w:ascii="Arial" w:hAnsi="Arial" w:cs="Arial"/>
                <w:color w:val="000000"/>
                <w:sz w:val="18"/>
                <w:szCs w:val="18"/>
              </w:rPr>
              <w:t>1,807.5</w:t>
            </w:r>
          </w:p>
        </w:tc>
        <w:tc>
          <w:tcPr>
            <w:tcW w:w="1198" w:type="pct"/>
            <w:tcBorders>
              <w:top w:val="single" w:sz="4" w:space="0" w:color="auto"/>
              <w:left w:val="single" w:sz="4" w:space="0" w:color="auto"/>
              <w:bottom w:val="nil"/>
              <w:right w:val="single" w:sz="4" w:space="0" w:color="auto"/>
            </w:tcBorders>
            <w:vAlign w:val="center"/>
          </w:tcPr>
          <w:p w:rsidR="00277101" w:rsidRPr="007F4472" w:rsidRDefault="00277101" w:rsidP="007F12D3">
            <w:pPr>
              <w:bidi w:val="0"/>
              <w:ind w:right="410" w:firstLineChars="100" w:firstLine="180"/>
              <w:jc w:val="right"/>
              <w:rPr>
                <w:rFonts w:ascii="Arial" w:hAnsi="Arial" w:cs="Arial"/>
                <w:color w:val="000000"/>
                <w:sz w:val="18"/>
                <w:szCs w:val="18"/>
              </w:rPr>
            </w:pPr>
            <w:r w:rsidRPr="007F4472">
              <w:rPr>
                <w:rFonts w:ascii="Arial" w:hAnsi="Arial" w:cs="Arial"/>
                <w:color w:val="000000"/>
                <w:sz w:val="18"/>
                <w:szCs w:val="18"/>
              </w:rPr>
              <w:t>1,793.3</w:t>
            </w:r>
          </w:p>
        </w:tc>
      </w:tr>
      <w:tr w:rsidR="00277101" w:rsidTr="007F12D3">
        <w:trPr>
          <w:trHeight w:val="340"/>
          <w:jc w:val="center"/>
        </w:trPr>
        <w:tc>
          <w:tcPr>
            <w:tcW w:w="2602" w:type="pct"/>
            <w:tcBorders>
              <w:top w:val="nil"/>
              <w:bottom w:val="nil"/>
              <w:right w:val="single" w:sz="4" w:space="0" w:color="auto"/>
            </w:tcBorders>
            <w:vAlign w:val="center"/>
          </w:tcPr>
          <w:p w:rsidR="00277101" w:rsidRDefault="00277101" w:rsidP="00197BCC">
            <w:pPr>
              <w:pStyle w:val="BodyText"/>
              <w:jc w:val="left"/>
              <w:rPr>
                <w:rFonts w:ascii="Arial" w:hAnsi="Arial" w:cs="Arial"/>
                <w:sz w:val="18"/>
                <w:szCs w:val="18"/>
              </w:rPr>
            </w:pPr>
            <w:r>
              <w:rPr>
                <w:rFonts w:ascii="Arial" w:hAnsi="Arial" w:cs="Arial"/>
                <w:sz w:val="18"/>
                <w:szCs w:val="18"/>
              </w:rPr>
              <w:t>GNI Per Capita</w:t>
            </w:r>
          </w:p>
        </w:tc>
        <w:tc>
          <w:tcPr>
            <w:tcW w:w="1200" w:type="pct"/>
            <w:tcBorders>
              <w:top w:val="nil"/>
              <w:left w:val="nil"/>
              <w:bottom w:val="nil"/>
              <w:right w:val="single" w:sz="4" w:space="0" w:color="auto"/>
            </w:tcBorders>
            <w:vAlign w:val="center"/>
          </w:tcPr>
          <w:p w:rsidR="00277101" w:rsidRPr="007F4472" w:rsidRDefault="00277101" w:rsidP="007F12D3">
            <w:pPr>
              <w:bidi w:val="0"/>
              <w:ind w:right="410" w:firstLineChars="100" w:firstLine="180"/>
              <w:jc w:val="right"/>
              <w:rPr>
                <w:rFonts w:ascii="Arial" w:hAnsi="Arial" w:cs="Arial"/>
                <w:color w:val="000000"/>
                <w:sz w:val="18"/>
                <w:szCs w:val="18"/>
              </w:rPr>
            </w:pPr>
            <w:r w:rsidRPr="007F4472">
              <w:rPr>
                <w:rFonts w:ascii="Arial" w:hAnsi="Arial" w:cs="Arial"/>
                <w:color w:val="000000"/>
                <w:sz w:val="18"/>
                <w:szCs w:val="18"/>
              </w:rPr>
              <w:t>1,925.3</w:t>
            </w:r>
          </w:p>
        </w:tc>
        <w:tc>
          <w:tcPr>
            <w:tcW w:w="1198" w:type="pct"/>
            <w:tcBorders>
              <w:top w:val="nil"/>
              <w:left w:val="single" w:sz="4" w:space="0" w:color="auto"/>
              <w:bottom w:val="nil"/>
              <w:right w:val="single" w:sz="4" w:space="0" w:color="auto"/>
            </w:tcBorders>
            <w:vAlign w:val="center"/>
          </w:tcPr>
          <w:p w:rsidR="00277101" w:rsidRPr="007F4472" w:rsidRDefault="00277101" w:rsidP="007F12D3">
            <w:pPr>
              <w:bidi w:val="0"/>
              <w:ind w:right="410" w:firstLineChars="100" w:firstLine="180"/>
              <w:jc w:val="right"/>
              <w:rPr>
                <w:rFonts w:ascii="Arial" w:hAnsi="Arial" w:cs="Arial"/>
                <w:color w:val="000000"/>
                <w:sz w:val="18"/>
                <w:szCs w:val="18"/>
              </w:rPr>
            </w:pPr>
            <w:r>
              <w:rPr>
                <w:rFonts w:ascii="Arial" w:hAnsi="Arial" w:cs="Arial"/>
                <w:color w:val="000000"/>
                <w:sz w:val="18"/>
                <w:szCs w:val="18"/>
              </w:rPr>
              <w:t>1,</w:t>
            </w:r>
            <w:r w:rsidR="004F3AAF">
              <w:rPr>
                <w:rFonts w:ascii="Arial" w:hAnsi="Arial" w:cs="Arial"/>
                <w:color w:val="000000"/>
                <w:sz w:val="18"/>
                <w:szCs w:val="18"/>
              </w:rPr>
              <w:t>935.1</w:t>
            </w:r>
          </w:p>
        </w:tc>
      </w:tr>
      <w:tr w:rsidR="00277101" w:rsidTr="007F12D3">
        <w:trPr>
          <w:trHeight w:val="340"/>
          <w:jc w:val="center"/>
        </w:trPr>
        <w:tc>
          <w:tcPr>
            <w:tcW w:w="2602" w:type="pct"/>
            <w:tcBorders>
              <w:top w:val="nil"/>
              <w:bottom w:val="single" w:sz="4" w:space="0" w:color="auto"/>
              <w:right w:val="single" w:sz="4" w:space="0" w:color="auto"/>
            </w:tcBorders>
            <w:vAlign w:val="center"/>
          </w:tcPr>
          <w:p w:rsidR="00277101" w:rsidRDefault="00277101" w:rsidP="00197BCC">
            <w:pPr>
              <w:pStyle w:val="BodyText"/>
              <w:jc w:val="left"/>
              <w:rPr>
                <w:rFonts w:ascii="Arial" w:hAnsi="Arial" w:cs="Arial"/>
                <w:sz w:val="18"/>
                <w:szCs w:val="18"/>
              </w:rPr>
            </w:pPr>
            <w:r>
              <w:rPr>
                <w:rFonts w:ascii="Arial" w:hAnsi="Arial" w:cs="Arial"/>
                <w:sz w:val="18"/>
                <w:szCs w:val="18"/>
              </w:rPr>
              <w:t>GNDI Per Capita</w:t>
            </w:r>
          </w:p>
        </w:tc>
        <w:tc>
          <w:tcPr>
            <w:tcW w:w="1200" w:type="pct"/>
            <w:tcBorders>
              <w:top w:val="nil"/>
              <w:left w:val="nil"/>
              <w:bottom w:val="single" w:sz="4" w:space="0" w:color="auto"/>
              <w:right w:val="single" w:sz="4" w:space="0" w:color="auto"/>
            </w:tcBorders>
            <w:vAlign w:val="center"/>
          </w:tcPr>
          <w:p w:rsidR="00277101" w:rsidRPr="007F4472" w:rsidRDefault="00277101" w:rsidP="007F12D3">
            <w:pPr>
              <w:bidi w:val="0"/>
              <w:ind w:right="410" w:firstLineChars="100" w:firstLine="180"/>
              <w:jc w:val="right"/>
              <w:rPr>
                <w:rFonts w:ascii="Arial" w:hAnsi="Arial" w:cs="Arial"/>
                <w:color w:val="000000"/>
                <w:sz w:val="18"/>
                <w:szCs w:val="18"/>
              </w:rPr>
            </w:pPr>
            <w:r w:rsidRPr="007F4472">
              <w:rPr>
                <w:rFonts w:ascii="Arial" w:hAnsi="Arial" w:cs="Arial"/>
                <w:color w:val="000000"/>
                <w:sz w:val="18"/>
                <w:szCs w:val="18"/>
              </w:rPr>
              <w:t>2,187.7</w:t>
            </w:r>
          </w:p>
        </w:tc>
        <w:tc>
          <w:tcPr>
            <w:tcW w:w="1198" w:type="pct"/>
            <w:tcBorders>
              <w:top w:val="nil"/>
              <w:left w:val="single" w:sz="4" w:space="0" w:color="auto"/>
              <w:bottom w:val="single" w:sz="4" w:space="0" w:color="auto"/>
              <w:right w:val="single" w:sz="4" w:space="0" w:color="auto"/>
            </w:tcBorders>
            <w:vAlign w:val="center"/>
          </w:tcPr>
          <w:p w:rsidR="00277101" w:rsidRPr="007F4472" w:rsidRDefault="00277101" w:rsidP="00C8087B">
            <w:pPr>
              <w:bidi w:val="0"/>
              <w:ind w:right="410" w:firstLineChars="100" w:firstLine="180"/>
              <w:jc w:val="right"/>
              <w:rPr>
                <w:rFonts w:ascii="Arial" w:hAnsi="Arial" w:cs="Arial"/>
                <w:color w:val="000000"/>
                <w:sz w:val="18"/>
                <w:szCs w:val="18"/>
              </w:rPr>
            </w:pPr>
            <w:r>
              <w:rPr>
                <w:rFonts w:ascii="Arial" w:hAnsi="Arial" w:cs="Arial"/>
                <w:color w:val="000000"/>
                <w:sz w:val="18"/>
                <w:szCs w:val="18"/>
              </w:rPr>
              <w:t>2,</w:t>
            </w:r>
            <w:r w:rsidR="00C8087B">
              <w:rPr>
                <w:rFonts w:ascii="Arial" w:hAnsi="Arial" w:cs="Arial"/>
                <w:color w:val="000000"/>
                <w:sz w:val="18"/>
                <w:szCs w:val="18"/>
              </w:rPr>
              <w:t>102</w:t>
            </w:r>
            <w:r w:rsidR="004F3AAF">
              <w:rPr>
                <w:rFonts w:ascii="Arial" w:hAnsi="Arial" w:cs="Arial"/>
                <w:color w:val="000000"/>
                <w:sz w:val="18"/>
                <w:szCs w:val="18"/>
              </w:rPr>
              <w:t>.</w:t>
            </w:r>
            <w:r w:rsidR="00C8087B">
              <w:rPr>
                <w:rFonts w:ascii="Arial" w:hAnsi="Arial" w:cs="Arial"/>
                <w:color w:val="000000"/>
                <w:sz w:val="18"/>
                <w:szCs w:val="18"/>
              </w:rPr>
              <w:t>7</w:t>
            </w:r>
          </w:p>
        </w:tc>
      </w:tr>
    </w:tbl>
    <w:p w:rsidR="00582357" w:rsidRPr="003A7559" w:rsidRDefault="00582357" w:rsidP="00582357">
      <w:pPr>
        <w:bidi w:val="0"/>
        <w:rPr>
          <w:rFonts w:ascii="Arial" w:hAnsi="Arial" w:cs="Arial"/>
          <w:b/>
          <w:bCs/>
          <w:sz w:val="16"/>
          <w:szCs w:val="16"/>
        </w:rPr>
      </w:pPr>
    </w:p>
    <w:p w:rsidR="00582357" w:rsidRPr="00471C8A" w:rsidRDefault="00582357" w:rsidP="00582357">
      <w:pPr>
        <w:bidi w:val="0"/>
        <w:jc w:val="lowKashida"/>
        <w:rPr>
          <w:sz w:val="16"/>
          <w:szCs w:val="16"/>
        </w:rPr>
      </w:pPr>
    </w:p>
    <w:p w:rsidR="00551EAF" w:rsidRPr="00F94A8A" w:rsidRDefault="00551EAF" w:rsidP="00C75E7D">
      <w:pPr>
        <w:bidi w:val="0"/>
        <w:jc w:val="center"/>
        <w:rPr>
          <w:rFonts w:ascii="Arial" w:hAnsi="Arial" w:cs="Arial"/>
          <w:b/>
          <w:bCs/>
          <w:snapToGrid w:val="0"/>
          <w:sz w:val="22"/>
          <w:szCs w:val="22"/>
        </w:rPr>
      </w:pPr>
      <w:r w:rsidRPr="00F94A8A">
        <w:rPr>
          <w:rFonts w:ascii="Arial" w:hAnsi="Arial" w:cs="Arial"/>
          <w:b/>
          <w:bCs/>
          <w:sz w:val="22"/>
          <w:szCs w:val="22"/>
        </w:rPr>
        <w:t xml:space="preserve">GDP, GNI and GNDI per capita </w:t>
      </w:r>
      <w:r w:rsidRPr="00F94A8A">
        <w:rPr>
          <w:rFonts w:ascii="Arial" w:hAnsi="Arial" w:cs="Arial"/>
          <w:b/>
          <w:bCs/>
          <w:snapToGrid w:val="0"/>
          <w:sz w:val="22"/>
          <w:szCs w:val="22"/>
        </w:rPr>
        <w:t>in Palestine</w:t>
      </w:r>
      <w:r w:rsidR="00F530F9" w:rsidRPr="00F94A8A">
        <w:rPr>
          <w:rFonts w:ascii="Arial" w:hAnsi="Arial" w:cs="Arial"/>
          <w:b/>
          <w:bCs/>
          <w:snapToGrid w:val="0"/>
          <w:sz w:val="22"/>
          <w:szCs w:val="22"/>
        </w:rPr>
        <w:t>*</w:t>
      </w:r>
      <w:r w:rsidRPr="00F94A8A">
        <w:rPr>
          <w:rFonts w:ascii="Arial" w:hAnsi="Arial" w:cs="Arial"/>
          <w:b/>
          <w:bCs/>
          <w:snapToGrid w:val="0"/>
          <w:sz w:val="22"/>
          <w:szCs w:val="22"/>
        </w:rPr>
        <w:t xml:space="preserve"> for </w:t>
      </w:r>
      <w:r w:rsidR="00C75E7D">
        <w:rPr>
          <w:rFonts w:ascii="Arial" w:hAnsi="Arial" w:cs="Arial"/>
          <w:b/>
          <w:bCs/>
          <w:snapToGrid w:val="0"/>
          <w:sz w:val="22"/>
          <w:szCs w:val="22"/>
        </w:rPr>
        <w:t>2004-2013</w:t>
      </w:r>
      <w:r w:rsidRPr="00F94A8A">
        <w:rPr>
          <w:rFonts w:ascii="Arial" w:hAnsi="Arial" w:cs="Arial"/>
          <w:b/>
          <w:bCs/>
          <w:snapToGrid w:val="0"/>
          <w:sz w:val="22"/>
          <w:szCs w:val="22"/>
        </w:rPr>
        <w:t xml:space="preserve"> at constant prices (USD): </w:t>
      </w:r>
      <w:r w:rsidR="0089176B" w:rsidRPr="00F94A8A">
        <w:rPr>
          <w:rFonts w:ascii="Arial" w:hAnsi="Arial" w:cs="Arial"/>
          <w:b/>
          <w:bCs/>
          <w:snapToGrid w:val="0"/>
          <w:sz w:val="22"/>
          <w:szCs w:val="22"/>
        </w:rPr>
        <w:t>2004</w:t>
      </w:r>
      <w:r w:rsidRPr="00F94A8A">
        <w:rPr>
          <w:rFonts w:ascii="Arial" w:hAnsi="Arial" w:cs="Arial"/>
          <w:b/>
          <w:bCs/>
          <w:snapToGrid w:val="0"/>
          <w:sz w:val="22"/>
          <w:szCs w:val="22"/>
        </w:rPr>
        <w:t xml:space="preserve"> is the </w:t>
      </w:r>
      <w:r w:rsidR="005F083F">
        <w:rPr>
          <w:rFonts w:ascii="Arial" w:hAnsi="Arial" w:cs="Arial"/>
          <w:b/>
          <w:bCs/>
          <w:snapToGrid w:val="0"/>
          <w:sz w:val="22"/>
          <w:szCs w:val="22"/>
        </w:rPr>
        <w:t>b</w:t>
      </w:r>
      <w:r w:rsidRPr="00F94A8A">
        <w:rPr>
          <w:rFonts w:ascii="Arial" w:hAnsi="Arial" w:cs="Arial"/>
          <w:b/>
          <w:bCs/>
          <w:snapToGrid w:val="0"/>
          <w:sz w:val="22"/>
          <w:szCs w:val="22"/>
        </w:rPr>
        <w:t>ase year</w:t>
      </w:r>
    </w:p>
    <w:tbl>
      <w:tblPr>
        <w:tblStyle w:val="TableGrid"/>
        <w:tblW w:w="0" w:type="auto"/>
        <w:jc w:val="center"/>
        <w:tblInd w:w="250" w:type="dxa"/>
        <w:tblLook w:val="04A0"/>
      </w:tblPr>
      <w:tblGrid>
        <w:gridCol w:w="9037"/>
      </w:tblGrid>
      <w:tr w:rsidR="00250455" w:rsidTr="007F12D3">
        <w:trPr>
          <w:jc w:val="center"/>
        </w:trPr>
        <w:tc>
          <w:tcPr>
            <w:tcW w:w="9037" w:type="dxa"/>
            <w:vAlign w:val="center"/>
          </w:tcPr>
          <w:p w:rsidR="00250455" w:rsidRDefault="00250455" w:rsidP="007F12D3">
            <w:pPr>
              <w:bidi w:val="0"/>
              <w:jc w:val="center"/>
              <w:rPr>
                <w:b/>
                <w:bCs/>
              </w:rPr>
            </w:pPr>
            <w:r w:rsidRPr="00250455">
              <w:rPr>
                <w:b/>
                <w:bCs/>
                <w:noProof/>
                <w:lang w:eastAsia="en-US"/>
              </w:rPr>
              <w:drawing>
                <wp:inline distT="0" distB="0" distL="0" distR="0">
                  <wp:extent cx="5762625" cy="2571750"/>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5F5139" w:rsidRPr="005F5139" w:rsidRDefault="005F5139" w:rsidP="005F5139">
      <w:pPr>
        <w:bidi w:val="0"/>
        <w:rPr>
          <w:sz w:val="18"/>
          <w:szCs w:val="18"/>
        </w:rPr>
      </w:pPr>
      <w:r w:rsidRPr="005F5139">
        <w:rPr>
          <w:sz w:val="18"/>
          <w:szCs w:val="18"/>
        </w:rPr>
        <w:t>*The data excludes those parts of Jerusalem</w:t>
      </w:r>
      <w:r w:rsidR="00E76CE5">
        <w:rPr>
          <w:sz w:val="18"/>
          <w:szCs w:val="18"/>
        </w:rPr>
        <w:t xml:space="preserve"> governorate</w:t>
      </w:r>
      <w:r w:rsidRPr="005F5139">
        <w:rPr>
          <w:sz w:val="18"/>
          <w:szCs w:val="18"/>
        </w:rPr>
        <w:t xml:space="preserve"> which were annexed by Israel in 1967.</w:t>
      </w:r>
    </w:p>
    <w:p w:rsidR="003A7559" w:rsidRPr="007F12D3" w:rsidRDefault="003A7559" w:rsidP="003A7559">
      <w:pPr>
        <w:bidi w:val="0"/>
        <w:jc w:val="lowKashida"/>
        <w:rPr>
          <w:b/>
          <w:bCs/>
          <w:color w:val="000000" w:themeColor="text1"/>
        </w:rPr>
      </w:pPr>
    </w:p>
    <w:p w:rsidR="00461B79" w:rsidRPr="000D7A5F" w:rsidRDefault="00EA4E88" w:rsidP="00471C8A">
      <w:pPr>
        <w:bidi w:val="0"/>
        <w:jc w:val="lowKashida"/>
        <w:rPr>
          <w:color w:val="000000" w:themeColor="text1"/>
        </w:rPr>
      </w:pPr>
      <w:r w:rsidRPr="000D7A5F">
        <w:rPr>
          <w:b/>
          <w:bCs/>
          <w:color w:val="000000" w:themeColor="text1"/>
        </w:rPr>
        <w:t>1.1.7</w:t>
      </w:r>
      <w:r w:rsidR="00693A3F">
        <w:rPr>
          <w:b/>
          <w:bCs/>
          <w:color w:val="000000" w:themeColor="text1"/>
        </w:rPr>
        <w:t>.</w:t>
      </w:r>
      <w:r w:rsidRPr="000D7A5F">
        <w:rPr>
          <w:b/>
          <w:bCs/>
          <w:color w:val="000000" w:themeColor="text1"/>
        </w:rPr>
        <w:t xml:space="preserve"> </w:t>
      </w:r>
      <w:r w:rsidR="00461B79" w:rsidRPr="000D7A5F">
        <w:rPr>
          <w:b/>
          <w:bCs/>
          <w:color w:val="000000" w:themeColor="text1"/>
        </w:rPr>
        <w:t>GDP by Expenditure</w:t>
      </w:r>
      <w:r w:rsidR="00D27235" w:rsidRPr="000D7A5F">
        <w:rPr>
          <w:b/>
          <w:bCs/>
          <w:color w:val="000000" w:themeColor="text1"/>
        </w:rPr>
        <w:t xml:space="preserve"> </w:t>
      </w:r>
    </w:p>
    <w:p w:rsidR="003A7559" w:rsidRPr="008B5446" w:rsidRDefault="00461B79" w:rsidP="006304FC">
      <w:pPr>
        <w:bidi w:val="0"/>
        <w:jc w:val="lowKashida"/>
        <w:rPr>
          <w:color w:val="000000" w:themeColor="text1"/>
        </w:rPr>
      </w:pPr>
      <w:r w:rsidRPr="000D7A5F">
        <w:rPr>
          <w:color w:val="000000" w:themeColor="text1"/>
        </w:rPr>
        <w:t xml:space="preserve">The main findings </w:t>
      </w:r>
      <w:r w:rsidR="00710B54" w:rsidRPr="000D7A5F">
        <w:rPr>
          <w:color w:val="000000" w:themeColor="text1"/>
        </w:rPr>
        <w:t xml:space="preserve">for </w:t>
      </w:r>
      <w:r w:rsidR="00F760CE">
        <w:rPr>
          <w:color w:val="000000" w:themeColor="text1"/>
        </w:rPr>
        <w:t>2013</w:t>
      </w:r>
      <w:r w:rsidR="00710B54" w:rsidRPr="000D7A5F">
        <w:rPr>
          <w:color w:val="000000" w:themeColor="text1"/>
        </w:rPr>
        <w:t xml:space="preserve"> </w:t>
      </w:r>
      <w:r w:rsidRPr="000D7A5F">
        <w:rPr>
          <w:color w:val="000000" w:themeColor="text1"/>
        </w:rPr>
        <w:t xml:space="preserve">indicate that final consumption in </w:t>
      </w:r>
      <w:r w:rsidR="00A56942" w:rsidRPr="000D7A5F">
        <w:rPr>
          <w:color w:val="000000" w:themeColor="text1"/>
        </w:rPr>
        <w:t>Palestine at</w:t>
      </w:r>
      <w:r w:rsidRPr="000D7A5F">
        <w:rPr>
          <w:color w:val="000000" w:themeColor="text1"/>
        </w:rPr>
        <w:t xml:space="preserve"> constant prices </w:t>
      </w:r>
      <w:r w:rsidR="00412A29" w:rsidRPr="008B5446">
        <w:rPr>
          <w:color w:val="000000" w:themeColor="text1"/>
        </w:rPr>
        <w:t>was</w:t>
      </w:r>
      <w:r w:rsidRPr="008B5446">
        <w:rPr>
          <w:color w:val="000000" w:themeColor="text1"/>
        </w:rPr>
        <w:t xml:space="preserve"> US</w:t>
      </w:r>
      <w:r w:rsidR="00A648B6" w:rsidRPr="008B5446">
        <w:rPr>
          <w:color w:val="000000" w:themeColor="text1"/>
        </w:rPr>
        <w:t>D</w:t>
      </w:r>
      <w:r w:rsidR="00452237" w:rsidRPr="008B5446">
        <w:rPr>
          <w:color w:val="000000" w:themeColor="text1"/>
        </w:rPr>
        <w:t xml:space="preserve"> </w:t>
      </w:r>
      <w:r w:rsidR="007B5DFE" w:rsidRPr="008B5446">
        <w:rPr>
          <w:color w:val="000000" w:themeColor="text1"/>
        </w:rPr>
        <w:t>8</w:t>
      </w:r>
      <w:r w:rsidR="00BC7016" w:rsidRPr="008B5446">
        <w:rPr>
          <w:color w:val="000000" w:themeColor="text1"/>
        </w:rPr>
        <w:t>,</w:t>
      </w:r>
      <w:r w:rsidR="00D42148" w:rsidRPr="008B5446">
        <w:rPr>
          <w:color w:val="000000" w:themeColor="text1"/>
        </w:rPr>
        <w:t>516</w:t>
      </w:r>
      <w:r w:rsidR="00BC7016" w:rsidRPr="008B5446">
        <w:rPr>
          <w:color w:val="000000" w:themeColor="text1"/>
        </w:rPr>
        <w:t xml:space="preserve"> </w:t>
      </w:r>
      <w:r w:rsidRPr="008B5446">
        <w:rPr>
          <w:color w:val="000000" w:themeColor="text1"/>
        </w:rPr>
        <w:t>million</w:t>
      </w:r>
      <w:r w:rsidR="00412A29" w:rsidRPr="008B5446">
        <w:rPr>
          <w:color w:val="000000" w:themeColor="text1"/>
        </w:rPr>
        <w:t>,</w:t>
      </w:r>
      <w:r w:rsidR="00710B54" w:rsidRPr="008B5446">
        <w:rPr>
          <w:color w:val="000000" w:themeColor="text1"/>
        </w:rPr>
        <w:t xml:space="preserve"> </w:t>
      </w:r>
      <w:r w:rsidR="008B5446">
        <w:rPr>
          <w:color w:val="000000" w:themeColor="text1"/>
        </w:rPr>
        <w:t>where it show</w:t>
      </w:r>
      <w:r w:rsidR="002B524D">
        <w:rPr>
          <w:color w:val="000000" w:themeColor="text1"/>
        </w:rPr>
        <w:t>s</w:t>
      </w:r>
      <w:r w:rsidR="00C358D3">
        <w:rPr>
          <w:color w:val="000000" w:themeColor="text1"/>
        </w:rPr>
        <w:t xml:space="preserve"> a</w:t>
      </w:r>
      <w:r w:rsidR="00C358D3" w:rsidRPr="008B5446">
        <w:rPr>
          <w:color w:val="000000" w:themeColor="text1"/>
        </w:rPr>
        <w:t xml:space="preserve"> decrease</w:t>
      </w:r>
      <w:r w:rsidRPr="008B5446">
        <w:rPr>
          <w:color w:val="000000" w:themeColor="text1"/>
        </w:rPr>
        <w:t xml:space="preserve"> </w:t>
      </w:r>
      <w:r w:rsidR="00412A29" w:rsidRPr="008B5446">
        <w:rPr>
          <w:color w:val="000000" w:themeColor="text1"/>
        </w:rPr>
        <w:t>of</w:t>
      </w:r>
      <w:r w:rsidRPr="008B5446">
        <w:rPr>
          <w:color w:val="000000" w:themeColor="text1"/>
        </w:rPr>
        <w:t xml:space="preserve"> </w:t>
      </w:r>
      <w:r w:rsidR="00D42148" w:rsidRPr="008B5446">
        <w:rPr>
          <w:color w:val="000000" w:themeColor="text1"/>
        </w:rPr>
        <w:t>3.5</w:t>
      </w:r>
      <w:r w:rsidRPr="008B5446">
        <w:rPr>
          <w:color w:val="000000" w:themeColor="text1"/>
        </w:rPr>
        <w:t xml:space="preserve">% compared </w:t>
      </w:r>
      <w:r w:rsidR="007C4363" w:rsidRPr="008B5446">
        <w:rPr>
          <w:color w:val="000000" w:themeColor="text1"/>
        </w:rPr>
        <w:t>with</w:t>
      </w:r>
      <w:r w:rsidRPr="008B5446">
        <w:rPr>
          <w:color w:val="000000" w:themeColor="text1"/>
        </w:rPr>
        <w:t xml:space="preserve"> </w:t>
      </w:r>
      <w:r w:rsidR="00412A29" w:rsidRPr="008B5446">
        <w:rPr>
          <w:color w:val="000000" w:themeColor="text1"/>
        </w:rPr>
        <w:t xml:space="preserve">the </w:t>
      </w:r>
      <w:r w:rsidRPr="008B5446">
        <w:rPr>
          <w:color w:val="000000" w:themeColor="text1"/>
        </w:rPr>
        <w:t xml:space="preserve">previous year. </w:t>
      </w:r>
    </w:p>
    <w:p w:rsidR="00C358D3" w:rsidRDefault="00C358D3" w:rsidP="003A7559">
      <w:pPr>
        <w:bidi w:val="0"/>
        <w:jc w:val="lowKashida"/>
        <w:rPr>
          <w:color w:val="000000" w:themeColor="text1"/>
        </w:rPr>
      </w:pPr>
    </w:p>
    <w:p w:rsidR="00461B79" w:rsidRPr="000D7A5F" w:rsidRDefault="00412A29" w:rsidP="00C358D3">
      <w:pPr>
        <w:bidi w:val="0"/>
        <w:jc w:val="lowKashida"/>
        <w:rPr>
          <w:color w:val="000000" w:themeColor="text1"/>
        </w:rPr>
      </w:pPr>
      <w:r w:rsidRPr="000D7A5F">
        <w:rPr>
          <w:color w:val="000000" w:themeColor="text1"/>
        </w:rPr>
        <w:t>H</w:t>
      </w:r>
      <w:r w:rsidR="00461B79" w:rsidRPr="000D7A5F">
        <w:rPr>
          <w:color w:val="000000" w:themeColor="text1"/>
        </w:rPr>
        <w:t>ousehold final consumption</w:t>
      </w:r>
      <w:r w:rsidR="0013282A" w:rsidRPr="000D7A5F">
        <w:rPr>
          <w:color w:val="000000" w:themeColor="text1"/>
        </w:rPr>
        <w:t xml:space="preserve"> was USD</w:t>
      </w:r>
      <w:r w:rsidR="003948A0" w:rsidRPr="000D7A5F">
        <w:rPr>
          <w:color w:val="000000" w:themeColor="text1"/>
        </w:rPr>
        <w:t xml:space="preserve"> </w:t>
      </w:r>
      <w:r w:rsidR="0013282A" w:rsidRPr="000D7A5F">
        <w:rPr>
          <w:color w:val="000000" w:themeColor="text1"/>
        </w:rPr>
        <w:t>6,</w:t>
      </w:r>
      <w:r w:rsidR="00D42148">
        <w:rPr>
          <w:color w:val="000000" w:themeColor="text1"/>
        </w:rPr>
        <w:t>247</w:t>
      </w:r>
      <w:r w:rsidR="0013282A" w:rsidRPr="000D7A5F">
        <w:rPr>
          <w:color w:val="000000" w:themeColor="text1"/>
        </w:rPr>
        <w:t xml:space="preserve"> million, which</w:t>
      </w:r>
      <w:r w:rsidR="00461B79" w:rsidRPr="000D7A5F">
        <w:rPr>
          <w:color w:val="000000" w:themeColor="text1"/>
        </w:rPr>
        <w:t xml:space="preserve"> contributed </w:t>
      </w:r>
      <w:r w:rsidR="00D42148">
        <w:rPr>
          <w:color w:val="000000" w:themeColor="text1"/>
        </w:rPr>
        <w:t>73.3</w:t>
      </w:r>
      <w:r w:rsidR="00461B79" w:rsidRPr="000D7A5F">
        <w:rPr>
          <w:color w:val="000000" w:themeColor="text1"/>
        </w:rPr>
        <w:t xml:space="preserve">% </w:t>
      </w:r>
      <w:r w:rsidR="006304FC">
        <w:rPr>
          <w:color w:val="000000" w:themeColor="text1"/>
        </w:rPr>
        <w:t xml:space="preserve">of gross final consumption </w:t>
      </w:r>
      <w:r w:rsidR="00461B79" w:rsidRPr="000D7A5F">
        <w:rPr>
          <w:color w:val="000000" w:themeColor="text1"/>
        </w:rPr>
        <w:t xml:space="preserve">during </w:t>
      </w:r>
      <w:r w:rsidR="00F760CE">
        <w:rPr>
          <w:color w:val="000000" w:themeColor="text1"/>
        </w:rPr>
        <w:t>2013</w:t>
      </w:r>
      <w:r w:rsidR="00971331">
        <w:rPr>
          <w:color w:val="000000" w:themeColor="text1"/>
        </w:rPr>
        <w:t xml:space="preserve"> and</w:t>
      </w:r>
      <w:r w:rsidR="006304FC">
        <w:rPr>
          <w:color w:val="000000" w:themeColor="text1"/>
        </w:rPr>
        <w:t xml:space="preserve"> reflect</w:t>
      </w:r>
      <w:r w:rsidR="00F806DD">
        <w:rPr>
          <w:color w:val="000000" w:themeColor="text1"/>
        </w:rPr>
        <w:t>ed</w:t>
      </w:r>
      <w:r w:rsidR="006304FC">
        <w:rPr>
          <w:color w:val="000000" w:themeColor="text1"/>
        </w:rPr>
        <w:t xml:space="preserve"> a</w:t>
      </w:r>
      <w:r w:rsidR="00461B79" w:rsidRPr="000D7A5F">
        <w:rPr>
          <w:color w:val="000000" w:themeColor="text1"/>
        </w:rPr>
        <w:t xml:space="preserve"> </w:t>
      </w:r>
      <w:r w:rsidR="00D42148">
        <w:rPr>
          <w:color w:val="000000" w:themeColor="text1"/>
        </w:rPr>
        <w:t>de</w:t>
      </w:r>
      <w:r w:rsidR="00461B79" w:rsidRPr="000D7A5F">
        <w:rPr>
          <w:color w:val="000000" w:themeColor="text1"/>
        </w:rPr>
        <w:t xml:space="preserve">crease </w:t>
      </w:r>
      <w:r w:rsidRPr="000D7A5F">
        <w:rPr>
          <w:color w:val="000000" w:themeColor="text1"/>
        </w:rPr>
        <w:t>of</w:t>
      </w:r>
      <w:r w:rsidR="00461B79" w:rsidRPr="000D7A5F">
        <w:rPr>
          <w:color w:val="000000" w:themeColor="text1"/>
        </w:rPr>
        <w:t xml:space="preserve"> </w:t>
      </w:r>
      <w:r w:rsidR="00D42148">
        <w:rPr>
          <w:color w:val="000000" w:themeColor="text1"/>
        </w:rPr>
        <w:t>4.4</w:t>
      </w:r>
      <w:r w:rsidR="00461B79" w:rsidRPr="000D7A5F">
        <w:rPr>
          <w:color w:val="000000" w:themeColor="text1"/>
        </w:rPr>
        <w:t xml:space="preserve">% compared </w:t>
      </w:r>
      <w:r w:rsidR="007C4363" w:rsidRPr="000D7A5F">
        <w:rPr>
          <w:color w:val="000000" w:themeColor="text1"/>
        </w:rPr>
        <w:t>with</w:t>
      </w:r>
      <w:r w:rsidR="00461B79" w:rsidRPr="000D7A5F">
        <w:rPr>
          <w:color w:val="000000" w:themeColor="text1"/>
        </w:rPr>
        <w:t xml:space="preserve"> </w:t>
      </w:r>
      <w:r w:rsidR="00F760CE">
        <w:rPr>
          <w:color w:val="000000" w:themeColor="text1"/>
        </w:rPr>
        <w:t>2012</w:t>
      </w:r>
      <w:r w:rsidR="00461B79" w:rsidRPr="000D7A5F">
        <w:rPr>
          <w:color w:val="000000" w:themeColor="text1"/>
        </w:rPr>
        <w:t>.</w:t>
      </w:r>
    </w:p>
    <w:p w:rsidR="00971331" w:rsidRPr="00471C8A" w:rsidRDefault="00971331" w:rsidP="00E05D16">
      <w:pPr>
        <w:bidi w:val="0"/>
        <w:jc w:val="lowKashida"/>
        <w:rPr>
          <w:color w:val="000000" w:themeColor="text1"/>
          <w:sz w:val="16"/>
          <w:szCs w:val="16"/>
        </w:rPr>
      </w:pPr>
    </w:p>
    <w:p w:rsidR="00461B79" w:rsidRPr="000D7A5F" w:rsidRDefault="00957F97" w:rsidP="00971331">
      <w:pPr>
        <w:bidi w:val="0"/>
        <w:jc w:val="lowKashida"/>
        <w:rPr>
          <w:snapToGrid w:val="0"/>
          <w:color w:val="000000" w:themeColor="text1"/>
        </w:rPr>
      </w:pPr>
      <w:r w:rsidRPr="000D7A5F">
        <w:rPr>
          <w:color w:val="000000" w:themeColor="text1"/>
        </w:rPr>
        <w:t xml:space="preserve">Gross </w:t>
      </w:r>
      <w:r w:rsidR="00412A29" w:rsidRPr="000D7A5F">
        <w:rPr>
          <w:color w:val="000000" w:themeColor="text1"/>
        </w:rPr>
        <w:t>c</w:t>
      </w:r>
      <w:r w:rsidRPr="000D7A5F">
        <w:rPr>
          <w:color w:val="000000" w:themeColor="text1"/>
        </w:rPr>
        <w:t xml:space="preserve">apital </w:t>
      </w:r>
      <w:r w:rsidR="00412A29" w:rsidRPr="000D7A5F">
        <w:rPr>
          <w:color w:val="000000" w:themeColor="text1"/>
        </w:rPr>
        <w:t>f</w:t>
      </w:r>
      <w:r w:rsidRPr="000D7A5F">
        <w:rPr>
          <w:color w:val="000000" w:themeColor="text1"/>
        </w:rPr>
        <w:t xml:space="preserve">ormation </w:t>
      </w:r>
      <w:r w:rsidR="005D2C78" w:rsidRPr="000D7A5F">
        <w:rPr>
          <w:color w:val="000000" w:themeColor="text1"/>
        </w:rPr>
        <w:t>in</w:t>
      </w:r>
      <w:r w:rsidRPr="000D7A5F">
        <w:rPr>
          <w:color w:val="000000" w:themeColor="text1"/>
        </w:rPr>
        <w:t>crease</w:t>
      </w:r>
      <w:r w:rsidR="00CE2506" w:rsidRPr="000D7A5F">
        <w:rPr>
          <w:color w:val="000000" w:themeColor="text1"/>
        </w:rPr>
        <w:t>d</w:t>
      </w:r>
      <w:r w:rsidR="00461B79" w:rsidRPr="000D7A5F">
        <w:rPr>
          <w:color w:val="000000" w:themeColor="text1"/>
        </w:rPr>
        <w:t xml:space="preserve"> by </w:t>
      </w:r>
      <w:r w:rsidR="00E05D16">
        <w:rPr>
          <w:color w:val="000000" w:themeColor="text1"/>
        </w:rPr>
        <w:t>4.2</w:t>
      </w:r>
      <w:r w:rsidR="00461B79" w:rsidRPr="000D7A5F">
        <w:rPr>
          <w:color w:val="000000" w:themeColor="text1"/>
        </w:rPr>
        <w:t xml:space="preserve">% in </w:t>
      </w:r>
      <w:r w:rsidR="00F760CE">
        <w:rPr>
          <w:color w:val="000000" w:themeColor="text1"/>
        </w:rPr>
        <w:t>2013</w:t>
      </w:r>
      <w:r w:rsidR="00461B79" w:rsidRPr="000D7A5F">
        <w:rPr>
          <w:color w:val="000000" w:themeColor="text1"/>
        </w:rPr>
        <w:t xml:space="preserve"> compared </w:t>
      </w:r>
      <w:r w:rsidR="007C4363" w:rsidRPr="000D7A5F">
        <w:rPr>
          <w:color w:val="000000" w:themeColor="text1"/>
        </w:rPr>
        <w:t>with</w:t>
      </w:r>
      <w:r w:rsidR="0046068E" w:rsidRPr="000D7A5F">
        <w:rPr>
          <w:color w:val="000000" w:themeColor="text1"/>
        </w:rPr>
        <w:t xml:space="preserve"> </w:t>
      </w:r>
      <w:r w:rsidR="00F760CE">
        <w:rPr>
          <w:color w:val="000000" w:themeColor="text1"/>
        </w:rPr>
        <w:t>2012</w:t>
      </w:r>
      <w:r w:rsidR="00461B79" w:rsidRPr="000D7A5F">
        <w:rPr>
          <w:color w:val="000000" w:themeColor="text1"/>
        </w:rPr>
        <w:t xml:space="preserve"> to </w:t>
      </w:r>
      <w:r w:rsidR="008B5446">
        <w:rPr>
          <w:color w:val="000000" w:themeColor="text1"/>
        </w:rPr>
        <w:t>reach</w:t>
      </w:r>
      <w:r w:rsidR="00FF73C4">
        <w:rPr>
          <w:color w:val="000000" w:themeColor="text1"/>
        </w:rPr>
        <w:t xml:space="preserve"> </w:t>
      </w:r>
      <w:r w:rsidR="00A648B6" w:rsidRPr="000D7A5F">
        <w:rPr>
          <w:snapToGrid w:val="0"/>
          <w:color w:val="000000" w:themeColor="text1"/>
        </w:rPr>
        <w:t>USD</w:t>
      </w:r>
      <w:r w:rsidR="00CE2506" w:rsidRPr="000D7A5F">
        <w:rPr>
          <w:snapToGrid w:val="0"/>
          <w:color w:val="000000" w:themeColor="text1"/>
        </w:rPr>
        <w:t xml:space="preserve"> </w:t>
      </w:r>
      <w:r w:rsidR="00A5543A" w:rsidRPr="000D7A5F">
        <w:rPr>
          <w:rFonts w:cs="Simplified Arabic"/>
          <w:color w:val="000000" w:themeColor="text1"/>
        </w:rPr>
        <w:t>1</w:t>
      </w:r>
      <w:r w:rsidR="00BC7016" w:rsidRPr="000D7A5F">
        <w:rPr>
          <w:rFonts w:cs="Simplified Arabic"/>
          <w:color w:val="000000" w:themeColor="text1"/>
        </w:rPr>
        <w:t>,</w:t>
      </w:r>
      <w:r w:rsidR="00D42148">
        <w:rPr>
          <w:rFonts w:cs="Simplified Arabic"/>
          <w:color w:val="000000" w:themeColor="text1"/>
        </w:rPr>
        <w:t xml:space="preserve">644 </w:t>
      </w:r>
      <w:r w:rsidR="00461B79" w:rsidRPr="000D7A5F">
        <w:rPr>
          <w:snapToGrid w:val="0"/>
          <w:color w:val="000000" w:themeColor="text1"/>
        </w:rPr>
        <w:t>million. The trade balance recorded a deficit duri</w:t>
      </w:r>
      <w:r w:rsidR="00A648B6" w:rsidRPr="000D7A5F">
        <w:rPr>
          <w:snapToGrid w:val="0"/>
          <w:color w:val="000000" w:themeColor="text1"/>
        </w:rPr>
        <w:t>ng this period</w:t>
      </w:r>
      <w:r w:rsidR="00412A29" w:rsidRPr="000D7A5F">
        <w:rPr>
          <w:snapToGrid w:val="0"/>
          <w:color w:val="000000" w:themeColor="text1"/>
        </w:rPr>
        <w:t xml:space="preserve"> of</w:t>
      </w:r>
      <w:r w:rsidR="00A648B6" w:rsidRPr="000D7A5F">
        <w:rPr>
          <w:snapToGrid w:val="0"/>
          <w:color w:val="000000" w:themeColor="text1"/>
        </w:rPr>
        <w:t xml:space="preserve"> USD</w:t>
      </w:r>
      <w:r w:rsidR="00461B79" w:rsidRPr="000D7A5F">
        <w:rPr>
          <w:snapToGrid w:val="0"/>
          <w:color w:val="000000" w:themeColor="text1"/>
        </w:rPr>
        <w:t xml:space="preserve"> </w:t>
      </w:r>
      <w:r w:rsidR="00E05D16">
        <w:rPr>
          <w:rFonts w:cs="Simplified Arabic"/>
          <w:color w:val="000000" w:themeColor="text1"/>
        </w:rPr>
        <w:t>2</w:t>
      </w:r>
      <w:r w:rsidR="005D2C78" w:rsidRPr="000D7A5F">
        <w:rPr>
          <w:rFonts w:cs="Simplified Arabic"/>
          <w:color w:val="000000" w:themeColor="text1"/>
        </w:rPr>
        <w:t>,</w:t>
      </w:r>
      <w:r w:rsidR="00E05D16">
        <w:rPr>
          <w:rFonts w:cs="Simplified Arabic"/>
          <w:color w:val="000000" w:themeColor="text1"/>
        </w:rPr>
        <w:t>726</w:t>
      </w:r>
      <w:r w:rsidR="00A5543A" w:rsidRPr="000D7A5F">
        <w:rPr>
          <w:snapToGrid w:val="0"/>
          <w:color w:val="000000" w:themeColor="text1"/>
        </w:rPr>
        <w:t xml:space="preserve"> </w:t>
      </w:r>
      <w:r w:rsidR="00461B79" w:rsidRPr="000D7A5F">
        <w:rPr>
          <w:snapToGrid w:val="0"/>
          <w:color w:val="000000" w:themeColor="text1"/>
        </w:rPr>
        <w:t>million</w:t>
      </w:r>
      <w:r w:rsidR="00412A29" w:rsidRPr="000D7A5F">
        <w:rPr>
          <w:snapToGrid w:val="0"/>
          <w:color w:val="000000" w:themeColor="text1"/>
        </w:rPr>
        <w:t>, which was</w:t>
      </w:r>
      <w:r w:rsidR="00461B79" w:rsidRPr="000D7A5F">
        <w:rPr>
          <w:snapToGrid w:val="0"/>
          <w:color w:val="000000" w:themeColor="text1"/>
        </w:rPr>
        <w:t xml:space="preserve"> </w:t>
      </w:r>
      <w:r w:rsidR="00412A29" w:rsidRPr="000D7A5F">
        <w:rPr>
          <w:snapToGrid w:val="0"/>
          <w:color w:val="000000" w:themeColor="text1"/>
        </w:rPr>
        <w:t xml:space="preserve">a </w:t>
      </w:r>
      <w:r w:rsidR="00E05D16">
        <w:rPr>
          <w:snapToGrid w:val="0"/>
          <w:color w:val="000000" w:themeColor="text1"/>
        </w:rPr>
        <w:t>de</w:t>
      </w:r>
      <w:r w:rsidR="00461B79" w:rsidRPr="000D7A5F">
        <w:rPr>
          <w:snapToGrid w:val="0"/>
          <w:color w:val="000000" w:themeColor="text1"/>
        </w:rPr>
        <w:t>crease</w:t>
      </w:r>
      <w:r w:rsidR="00412A29" w:rsidRPr="000D7A5F">
        <w:rPr>
          <w:snapToGrid w:val="0"/>
          <w:color w:val="000000" w:themeColor="text1"/>
        </w:rPr>
        <w:t xml:space="preserve"> of</w:t>
      </w:r>
      <w:r w:rsidR="00461B79" w:rsidRPr="000D7A5F">
        <w:rPr>
          <w:snapToGrid w:val="0"/>
          <w:color w:val="000000" w:themeColor="text1"/>
        </w:rPr>
        <w:t xml:space="preserve"> </w:t>
      </w:r>
      <w:r w:rsidR="00E05D16">
        <w:rPr>
          <w:snapToGrid w:val="0"/>
          <w:color w:val="000000" w:themeColor="text1"/>
        </w:rPr>
        <w:t>11.6</w:t>
      </w:r>
      <w:r w:rsidR="00461B79" w:rsidRPr="000D7A5F">
        <w:rPr>
          <w:snapToGrid w:val="0"/>
          <w:color w:val="000000" w:themeColor="text1"/>
        </w:rPr>
        <w:t xml:space="preserve">% compared </w:t>
      </w:r>
      <w:r w:rsidR="007C4363" w:rsidRPr="000D7A5F">
        <w:rPr>
          <w:snapToGrid w:val="0"/>
          <w:color w:val="000000" w:themeColor="text1"/>
        </w:rPr>
        <w:t>with</w:t>
      </w:r>
      <w:r w:rsidR="00412A29" w:rsidRPr="000D7A5F">
        <w:rPr>
          <w:snapToGrid w:val="0"/>
          <w:color w:val="000000" w:themeColor="text1"/>
        </w:rPr>
        <w:t xml:space="preserve"> </w:t>
      </w:r>
      <w:r w:rsidR="00F760CE">
        <w:rPr>
          <w:snapToGrid w:val="0"/>
          <w:color w:val="000000" w:themeColor="text1"/>
        </w:rPr>
        <w:t>2012</w:t>
      </w:r>
      <w:r w:rsidR="00461B79" w:rsidRPr="000D7A5F">
        <w:rPr>
          <w:snapToGrid w:val="0"/>
          <w:color w:val="000000" w:themeColor="text1"/>
        </w:rPr>
        <w:t>.</w:t>
      </w:r>
    </w:p>
    <w:p w:rsidR="00A648B6" w:rsidRPr="00471C8A" w:rsidRDefault="00A648B6" w:rsidP="008337DC">
      <w:pPr>
        <w:bidi w:val="0"/>
        <w:jc w:val="center"/>
        <w:rPr>
          <w:rFonts w:asciiTheme="minorBidi" w:hAnsiTheme="minorBidi" w:cstheme="minorBidi"/>
          <w:b/>
          <w:bCs/>
          <w:sz w:val="16"/>
          <w:szCs w:val="16"/>
        </w:rPr>
      </w:pPr>
    </w:p>
    <w:p w:rsidR="007F12D3" w:rsidRDefault="007F12D3">
      <w:pPr>
        <w:bidi w:val="0"/>
        <w:rPr>
          <w:rFonts w:ascii="Arial" w:hAnsi="Arial" w:cs="Arial"/>
          <w:b/>
          <w:bCs/>
          <w:sz w:val="22"/>
          <w:szCs w:val="22"/>
        </w:rPr>
      </w:pPr>
      <w:r>
        <w:rPr>
          <w:rFonts w:ascii="Arial" w:hAnsi="Arial" w:cs="Arial"/>
          <w:b/>
          <w:bCs/>
          <w:sz w:val="22"/>
          <w:szCs w:val="22"/>
        </w:rPr>
        <w:br w:type="page"/>
      </w:r>
    </w:p>
    <w:p w:rsidR="00461B79" w:rsidRPr="00F94A8A" w:rsidRDefault="00412A29" w:rsidP="00C75E7D">
      <w:pPr>
        <w:bidi w:val="0"/>
        <w:jc w:val="center"/>
        <w:rPr>
          <w:rFonts w:ascii="Arial" w:hAnsi="Arial" w:cs="Arial"/>
          <w:b/>
          <w:bCs/>
          <w:sz w:val="22"/>
          <w:szCs w:val="22"/>
        </w:rPr>
      </w:pPr>
      <w:r w:rsidRPr="00F94A8A">
        <w:rPr>
          <w:rFonts w:ascii="Arial" w:hAnsi="Arial" w:cs="Arial"/>
          <w:b/>
          <w:bCs/>
          <w:sz w:val="22"/>
          <w:szCs w:val="22"/>
        </w:rPr>
        <w:lastRenderedPageBreak/>
        <w:t>C</w:t>
      </w:r>
      <w:r w:rsidR="0099348D">
        <w:rPr>
          <w:rFonts w:ascii="Arial" w:hAnsi="Arial" w:cs="Arial"/>
          <w:b/>
          <w:bCs/>
          <w:sz w:val="22"/>
          <w:szCs w:val="22"/>
        </w:rPr>
        <w:t xml:space="preserve">omponents </w:t>
      </w:r>
      <w:r w:rsidR="00461B79" w:rsidRPr="00F94A8A">
        <w:rPr>
          <w:rFonts w:ascii="Arial" w:hAnsi="Arial" w:cs="Arial"/>
          <w:b/>
          <w:bCs/>
          <w:sz w:val="22"/>
          <w:szCs w:val="22"/>
        </w:rPr>
        <w:t xml:space="preserve">of GDP by expenditure in </w:t>
      </w:r>
      <w:r w:rsidR="00A56942" w:rsidRPr="00F94A8A">
        <w:rPr>
          <w:rFonts w:ascii="Arial" w:hAnsi="Arial" w:cs="Arial"/>
          <w:b/>
          <w:bCs/>
          <w:sz w:val="22"/>
          <w:szCs w:val="22"/>
        </w:rPr>
        <w:t>Palestine</w:t>
      </w:r>
      <w:r w:rsidR="004166FD" w:rsidRPr="00F94A8A">
        <w:rPr>
          <w:rFonts w:ascii="Arial" w:hAnsi="Arial" w:cs="Arial"/>
          <w:b/>
          <w:bCs/>
          <w:sz w:val="22"/>
          <w:szCs w:val="22"/>
        </w:rPr>
        <w:t>*</w:t>
      </w:r>
      <w:r w:rsidR="00A56942" w:rsidRPr="00F94A8A">
        <w:rPr>
          <w:rFonts w:ascii="Arial" w:hAnsi="Arial" w:cs="Arial"/>
          <w:b/>
          <w:bCs/>
          <w:sz w:val="22"/>
          <w:szCs w:val="22"/>
        </w:rPr>
        <w:t xml:space="preserve"> for</w:t>
      </w:r>
      <w:r w:rsidR="00461B79" w:rsidRPr="00F94A8A">
        <w:rPr>
          <w:rFonts w:ascii="Arial" w:hAnsi="Arial" w:cs="Arial"/>
          <w:b/>
          <w:bCs/>
          <w:sz w:val="22"/>
          <w:szCs w:val="22"/>
        </w:rPr>
        <w:t xml:space="preserve"> </w:t>
      </w:r>
      <w:r w:rsidR="00C75E7D">
        <w:rPr>
          <w:rFonts w:ascii="Arial" w:hAnsi="Arial" w:cs="Arial"/>
          <w:b/>
          <w:bCs/>
          <w:sz w:val="22"/>
          <w:szCs w:val="22"/>
        </w:rPr>
        <w:t>2004-2013</w:t>
      </w:r>
      <w:r w:rsidR="00461B79" w:rsidRPr="00F94A8A">
        <w:rPr>
          <w:rFonts w:ascii="Arial" w:hAnsi="Arial" w:cs="Arial"/>
          <w:b/>
          <w:bCs/>
          <w:sz w:val="22"/>
          <w:szCs w:val="22"/>
        </w:rPr>
        <w:t xml:space="preserve"> at </w:t>
      </w:r>
      <w:r w:rsidR="00EC05AF" w:rsidRPr="00F94A8A">
        <w:rPr>
          <w:rFonts w:ascii="Arial" w:hAnsi="Arial" w:cs="Arial"/>
          <w:b/>
          <w:bCs/>
          <w:sz w:val="22"/>
          <w:szCs w:val="22"/>
        </w:rPr>
        <w:t>constant prices (USD</w:t>
      </w:r>
      <w:r w:rsidR="00461B79" w:rsidRPr="00F94A8A">
        <w:rPr>
          <w:rFonts w:ascii="Arial" w:hAnsi="Arial" w:cs="Arial"/>
          <w:b/>
          <w:bCs/>
          <w:sz w:val="22"/>
          <w:szCs w:val="22"/>
        </w:rPr>
        <w:t xml:space="preserve"> million): </w:t>
      </w:r>
      <w:r w:rsidR="0089176B" w:rsidRPr="00F94A8A">
        <w:rPr>
          <w:rFonts w:ascii="Arial" w:hAnsi="Arial" w:cs="Arial"/>
          <w:b/>
          <w:bCs/>
          <w:sz w:val="22"/>
          <w:szCs w:val="22"/>
        </w:rPr>
        <w:t>2004</w:t>
      </w:r>
      <w:r w:rsidR="00461B79" w:rsidRPr="00F94A8A">
        <w:rPr>
          <w:rFonts w:ascii="Arial" w:hAnsi="Arial" w:cs="Arial"/>
          <w:b/>
          <w:bCs/>
          <w:sz w:val="22"/>
          <w:szCs w:val="22"/>
        </w:rPr>
        <w:t xml:space="preserve"> is</w:t>
      </w:r>
      <w:r w:rsidR="00A365B5" w:rsidRPr="00F94A8A">
        <w:rPr>
          <w:rFonts w:ascii="Arial" w:hAnsi="Arial" w:cs="Arial"/>
          <w:b/>
          <w:bCs/>
          <w:sz w:val="22"/>
          <w:szCs w:val="22"/>
        </w:rPr>
        <w:t xml:space="preserve"> </w:t>
      </w:r>
      <w:r w:rsidR="00211DE6" w:rsidRPr="00F94A8A">
        <w:rPr>
          <w:rFonts w:ascii="Arial" w:hAnsi="Arial" w:cs="Arial"/>
          <w:b/>
          <w:bCs/>
          <w:sz w:val="22"/>
          <w:szCs w:val="22"/>
        </w:rPr>
        <w:t>the</w:t>
      </w:r>
      <w:r w:rsidR="00461B79" w:rsidRPr="00F94A8A">
        <w:rPr>
          <w:rFonts w:ascii="Arial" w:hAnsi="Arial" w:cs="Arial"/>
          <w:b/>
          <w:bCs/>
          <w:sz w:val="22"/>
          <w:szCs w:val="22"/>
        </w:rPr>
        <w:t xml:space="preserve"> base year</w:t>
      </w:r>
    </w:p>
    <w:tbl>
      <w:tblPr>
        <w:tblStyle w:val="TableGrid"/>
        <w:tblW w:w="0" w:type="auto"/>
        <w:jc w:val="center"/>
        <w:tblInd w:w="196" w:type="dxa"/>
        <w:tblLook w:val="04A0"/>
      </w:tblPr>
      <w:tblGrid>
        <w:gridCol w:w="8991"/>
      </w:tblGrid>
      <w:tr w:rsidR="002B0D9C" w:rsidTr="007F12D3">
        <w:trPr>
          <w:trHeight w:val="5166"/>
          <w:jc w:val="center"/>
        </w:trPr>
        <w:tc>
          <w:tcPr>
            <w:tcW w:w="8983" w:type="dxa"/>
            <w:vAlign w:val="center"/>
          </w:tcPr>
          <w:p w:rsidR="002B0D9C" w:rsidRDefault="002B0D9C" w:rsidP="007F12D3">
            <w:pPr>
              <w:bidi w:val="0"/>
              <w:jc w:val="center"/>
              <w:rPr>
                <w:rFonts w:asciiTheme="minorBidi" w:hAnsiTheme="minorBidi" w:cstheme="minorBidi"/>
                <w:b/>
                <w:bCs/>
                <w:sz w:val="22"/>
                <w:szCs w:val="22"/>
              </w:rPr>
            </w:pPr>
            <w:r w:rsidRPr="002B0D9C">
              <w:rPr>
                <w:rFonts w:asciiTheme="minorBidi" w:hAnsiTheme="minorBidi" w:cstheme="minorBidi"/>
                <w:b/>
                <w:bCs/>
                <w:noProof/>
                <w:sz w:val="22"/>
                <w:szCs w:val="22"/>
                <w:lang w:eastAsia="en-US"/>
              </w:rPr>
              <w:drawing>
                <wp:inline distT="0" distB="0" distL="0" distR="0">
                  <wp:extent cx="5572125" cy="3086100"/>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5F5139" w:rsidRDefault="007C592F" w:rsidP="005F5139">
      <w:pPr>
        <w:bidi w:val="0"/>
        <w:rPr>
          <w:sz w:val="18"/>
          <w:szCs w:val="18"/>
        </w:rPr>
      </w:pPr>
      <w:r>
        <w:rPr>
          <w:sz w:val="18"/>
          <w:szCs w:val="18"/>
        </w:rPr>
        <w:t xml:space="preserve"> </w:t>
      </w:r>
      <w:r w:rsidR="005F5139" w:rsidRPr="005F5139">
        <w:rPr>
          <w:sz w:val="18"/>
          <w:szCs w:val="18"/>
        </w:rPr>
        <w:t>*The data excludes those parts of Jerusalem</w:t>
      </w:r>
      <w:r w:rsidR="006304FC">
        <w:rPr>
          <w:sz w:val="18"/>
          <w:szCs w:val="18"/>
        </w:rPr>
        <w:t xml:space="preserve"> governorate</w:t>
      </w:r>
      <w:r w:rsidR="005F5139" w:rsidRPr="005F5139">
        <w:rPr>
          <w:sz w:val="18"/>
          <w:szCs w:val="18"/>
        </w:rPr>
        <w:t xml:space="preserve"> which were annexed by Israel in 1967.</w:t>
      </w:r>
    </w:p>
    <w:p w:rsidR="004B71EA" w:rsidRPr="007F12D3" w:rsidRDefault="004B71EA" w:rsidP="004B71EA">
      <w:pPr>
        <w:bidi w:val="0"/>
      </w:pPr>
    </w:p>
    <w:p w:rsidR="00461B79" w:rsidRDefault="00461B79" w:rsidP="00F94A8A">
      <w:pPr>
        <w:numPr>
          <w:ilvl w:val="1"/>
          <w:numId w:val="14"/>
        </w:numPr>
        <w:bidi w:val="0"/>
        <w:ind w:right="420" w:hanging="420"/>
        <w:jc w:val="lowKashida"/>
        <w:rPr>
          <w:b/>
          <w:bCs/>
        </w:rPr>
      </w:pPr>
      <w:r>
        <w:rPr>
          <w:b/>
          <w:bCs/>
        </w:rPr>
        <w:t>Institutional National Accounts</w:t>
      </w:r>
      <w:r w:rsidR="00D27235">
        <w:rPr>
          <w:b/>
          <w:bCs/>
        </w:rPr>
        <w:t xml:space="preserve"> </w:t>
      </w:r>
    </w:p>
    <w:p w:rsidR="00461B79" w:rsidRDefault="00461B79" w:rsidP="00DA4454">
      <w:pPr>
        <w:bidi w:val="0"/>
        <w:jc w:val="lowKashida"/>
        <w:rPr>
          <w:lang w:eastAsia="en-US"/>
        </w:rPr>
      </w:pPr>
      <w:r>
        <w:rPr>
          <w:rFonts w:eastAsia="Arial Unicode MS"/>
        </w:rPr>
        <w:t>The</w:t>
      </w:r>
      <w:r>
        <w:rPr>
          <w:lang w:eastAsia="en-US"/>
        </w:rPr>
        <w:t xml:space="preserve"> findings of </w:t>
      </w:r>
      <w:r w:rsidR="00F760CE">
        <w:rPr>
          <w:lang w:eastAsia="en-US"/>
        </w:rPr>
        <w:t>2013</w:t>
      </w:r>
      <w:r w:rsidR="007F6CF1">
        <w:rPr>
          <w:lang w:eastAsia="en-US"/>
        </w:rPr>
        <w:t xml:space="preserve"> </w:t>
      </w:r>
      <w:r>
        <w:rPr>
          <w:lang w:eastAsia="en-US"/>
        </w:rPr>
        <w:t>at c</w:t>
      </w:r>
      <w:r w:rsidR="00926B67">
        <w:rPr>
          <w:lang w:eastAsia="en-US"/>
        </w:rPr>
        <w:t>urrent</w:t>
      </w:r>
      <w:r>
        <w:rPr>
          <w:lang w:eastAsia="en-US"/>
        </w:rPr>
        <w:t xml:space="preserve"> prices show that </w:t>
      </w:r>
      <w:r w:rsidR="009C1B21">
        <w:rPr>
          <w:lang w:eastAsia="en-US"/>
        </w:rPr>
        <w:t>n</w:t>
      </w:r>
      <w:r w:rsidR="00021E4F">
        <w:rPr>
          <w:lang w:eastAsia="en-US"/>
        </w:rPr>
        <w:t>on-financial enterprises</w:t>
      </w:r>
      <w:r w:rsidR="00021E4F">
        <w:rPr>
          <w:snapToGrid w:val="0"/>
        </w:rPr>
        <w:t xml:space="preserve"> </w:t>
      </w:r>
      <w:r>
        <w:rPr>
          <w:lang w:eastAsia="en-US"/>
        </w:rPr>
        <w:t>provided the highest contribution to GDP</w:t>
      </w:r>
      <w:r w:rsidR="009C1B21">
        <w:rPr>
          <w:lang w:eastAsia="en-US"/>
        </w:rPr>
        <w:t>,</w:t>
      </w:r>
      <w:r>
        <w:rPr>
          <w:lang w:eastAsia="en-US"/>
        </w:rPr>
        <w:t xml:space="preserve"> followed by</w:t>
      </w:r>
      <w:r w:rsidR="004B6320">
        <w:rPr>
          <w:lang w:eastAsia="en-US"/>
        </w:rPr>
        <w:t xml:space="preserve"> </w:t>
      </w:r>
      <w:r w:rsidR="009C1B21">
        <w:rPr>
          <w:lang w:eastAsia="en-US"/>
        </w:rPr>
        <w:t xml:space="preserve">the </w:t>
      </w:r>
      <w:r w:rsidR="00DA4454">
        <w:rPr>
          <w:lang w:eastAsia="en-US"/>
        </w:rPr>
        <w:t>household</w:t>
      </w:r>
      <w:r w:rsidR="00DA4454">
        <w:rPr>
          <w:snapToGrid w:val="0"/>
        </w:rPr>
        <w:t xml:space="preserve"> </w:t>
      </w:r>
      <w:r>
        <w:rPr>
          <w:snapToGrid w:val="0"/>
        </w:rPr>
        <w:t>sector</w:t>
      </w:r>
      <w:r>
        <w:rPr>
          <w:lang w:eastAsia="en-US"/>
        </w:rPr>
        <w:t xml:space="preserve">. </w:t>
      </w:r>
      <w:r w:rsidR="00021E4F">
        <w:rPr>
          <w:lang w:eastAsia="en-US"/>
        </w:rPr>
        <w:t>F</w:t>
      </w:r>
      <w:r>
        <w:rPr>
          <w:lang w:eastAsia="en-US"/>
        </w:rPr>
        <w:t>inancial enterprises</w:t>
      </w:r>
      <w:r>
        <w:rPr>
          <w:snapToGrid w:val="0"/>
        </w:rPr>
        <w:t xml:space="preserve"> </w:t>
      </w:r>
      <w:r>
        <w:rPr>
          <w:lang w:eastAsia="en-US"/>
        </w:rPr>
        <w:t xml:space="preserve">provided the lowest contribution in </w:t>
      </w:r>
      <w:r w:rsidR="00F760CE">
        <w:rPr>
          <w:lang w:eastAsia="en-US"/>
        </w:rPr>
        <w:t>2013</w:t>
      </w:r>
      <w:r>
        <w:rPr>
          <w:lang w:eastAsia="en-US"/>
        </w:rPr>
        <w:t xml:space="preserve"> at c</w:t>
      </w:r>
      <w:r w:rsidR="00642F81">
        <w:rPr>
          <w:lang w:eastAsia="en-US"/>
        </w:rPr>
        <w:t>urrent</w:t>
      </w:r>
      <w:r>
        <w:rPr>
          <w:lang w:eastAsia="en-US"/>
        </w:rPr>
        <w:t xml:space="preserve"> prices, as the </w:t>
      </w:r>
      <w:r w:rsidR="00A2168D">
        <w:rPr>
          <w:lang w:eastAsia="en-US"/>
        </w:rPr>
        <w:t>graph</w:t>
      </w:r>
      <w:r w:rsidR="009C1B21">
        <w:rPr>
          <w:lang w:eastAsia="en-US"/>
        </w:rPr>
        <w:t xml:space="preserve"> </w:t>
      </w:r>
      <w:r w:rsidR="00F21219">
        <w:rPr>
          <w:lang w:eastAsia="en-US"/>
        </w:rPr>
        <w:t xml:space="preserve">below </w:t>
      </w:r>
      <w:r w:rsidR="009C1B21">
        <w:rPr>
          <w:lang w:eastAsia="en-US"/>
        </w:rPr>
        <w:t>illustrates</w:t>
      </w:r>
      <w:r w:rsidR="00021E4F">
        <w:rPr>
          <w:lang w:eastAsia="en-US"/>
        </w:rPr>
        <w:t>:</w:t>
      </w:r>
      <w:r w:rsidR="00811D78">
        <w:rPr>
          <w:lang w:eastAsia="en-US"/>
        </w:rPr>
        <w:t xml:space="preserve"> </w:t>
      </w:r>
    </w:p>
    <w:p w:rsidR="003A7559" w:rsidRPr="007F12D3" w:rsidRDefault="003A7559" w:rsidP="00705139">
      <w:pPr>
        <w:bidi w:val="0"/>
        <w:jc w:val="center"/>
        <w:rPr>
          <w:rFonts w:ascii="Arial" w:hAnsi="Arial" w:cs="Arial"/>
          <w:b/>
          <w:bCs/>
        </w:rPr>
      </w:pPr>
    </w:p>
    <w:p w:rsidR="00324C0D" w:rsidRPr="00705139" w:rsidRDefault="00324C0D" w:rsidP="003A7559">
      <w:pPr>
        <w:bidi w:val="0"/>
        <w:jc w:val="center"/>
        <w:rPr>
          <w:rFonts w:ascii="Arial" w:hAnsi="Arial" w:cs="Arial"/>
          <w:b/>
          <w:bCs/>
          <w:sz w:val="20"/>
          <w:szCs w:val="20"/>
        </w:rPr>
      </w:pPr>
      <w:r>
        <w:rPr>
          <w:rFonts w:ascii="Arial" w:hAnsi="Arial" w:cs="Arial"/>
          <w:b/>
          <w:bCs/>
          <w:sz w:val="22"/>
          <w:szCs w:val="22"/>
        </w:rPr>
        <w:t xml:space="preserve">Percentage </w:t>
      </w:r>
      <w:r w:rsidR="007C4363">
        <w:rPr>
          <w:rFonts w:ascii="Arial" w:hAnsi="Arial" w:cs="Arial"/>
          <w:b/>
          <w:bCs/>
          <w:sz w:val="22"/>
          <w:szCs w:val="22"/>
        </w:rPr>
        <w:t>c</w:t>
      </w:r>
      <w:r>
        <w:rPr>
          <w:rFonts w:ascii="Arial" w:hAnsi="Arial" w:cs="Arial"/>
          <w:b/>
          <w:bCs/>
          <w:sz w:val="22"/>
          <w:szCs w:val="22"/>
        </w:rPr>
        <w:t xml:space="preserve">ontribution </w:t>
      </w:r>
      <w:r w:rsidR="007C4363">
        <w:rPr>
          <w:rFonts w:ascii="Arial" w:hAnsi="Arial" w:cs="Arial"/>
          <w:b/>
          <w:bCs/>
          <w:sz w:val="22"/>
          <w:szCs w:val="22"/>
        </w:rPr>
        <w:t xml:space="preserve">of </w:t>
      </w:r>
      <w:r>
        <w:rPr>
          <w:rFonts w:ascii="Arial" w:hAnsi="Arial" w:cs="Arial"/>
          <w:b/>
          <w:bCs/>
          <w:sz w:val="22"/>
          <w:szCs w:val="22"/>
        </w:rPr>
        <w:t xml:space="preserve">institutional sectors </w:t>
      </w:r>
      <w:r w:rsidR="007A1F86">
        <w:rPr>
          <w:rFonts w:ascii="Arial" w:hAnsi="Arial" w:cs="Arial"/>
          <w:b/>
          <w:bCs/>
          <w:sz w:val="22"/>
          <w:szCs w:val="22"/>
        </w:rPr>
        <w:t>to</w:t>
      </w:r>
      <w:r>
        <w:rPr>
          <w:rFonts w:ascii="Arial" w:hAnsi="Arial" w:cs="Arial"/>
          <w:b/>
          <w:bCs/>
          <w:sz w:val="22"/>
          <w:szCs w:val="22"/>
        </w:rPr>
        <w:t xml:space="preserve"> GDP for </w:t>
      </w:r>
      <w:r w:rsidR="00F760CE">
        <w:rPr>
          <w:rFonts w:ascii="Arial" w:hAnsi="Arial" w:cs="Arial"/>
          <w:b/>
          <w:bCs/>
          <w:sz w:val="22"/>
          <w:szCs w:val="22"/>
        </w:rPr>
        <w:t>2013</w:t>
      </w:r>
      <w:r>
        <w:rPr>
          <w:rFonts w:ascii="Arial" w:hAnsi="Arial" w:cs="Arial"/>
          <w:b/>
          <w:bCs/>
          <w:sz w:val="22"/>
          <w:szCs w:val="22"/>
        </w:rPr>
        <w:t xml:space="preserve"> in Palestine* </w:t>
      </w:r>
      <w:r w:rsidR="00C54A02">
        <w:rPr>
          <w:rFonts w:ascii="Arial" w:hAnsi="Arial" w:cs="Arial"/>
          <w:b/>
          <w:bCs/>
          <w:sz w:val="22"/>
          <w:szCs w:val="22"/>
        </w:rPr>
        <w:t xml:space="preserve">               </w:t>
      </w:r>
      <w:r>
        <w:rPr>
          <w:rFonts w:ascii="Arial" w:hAnsi="Arial" w:cs="Arial"/>
          <w:b/>
          <w:bCs/>
          <w:sz w:val="22"/>
          <w:szCs w:val="22"/>
        </w:rPr>
        <w:t>at current prices</w:t>
      </w:r>
    </w:p>
    <w:tbl>
      <w:tblPr>
        <w:tblStyle w:val="TableGrid"/>
        <w:tblW w:w="0" w:type="auto"/>
        <w:jc w:val="center"/>
        <w:tblLayout w:type="fixed"/>
        <w:tblLook w:val="04A0"/>
      </w:tblPr>
      <w:tblGrid>
        <w:gridCol w:w="8330"/>
      </w:tblGrid>
      <w:tr w:rsidR="00324C0D" w:rsidTr="00F94A8A">
        <w:trPr>
          <w:jc w:val="center"/>
        </w:trPr>
        <w:tc>
          <w:tcPr>
            <w:tcW w:w="8330" w:type="dxa"/>
          </w:tcPr>
          <w:p w:rsidR="00324C0D" w:rsidRDefault="00D4746A" w:rsidP="00DD67FE">
            <w:pPr>
              <w:bidi w:val="0"/>
              <w:jc w:val="center"/>
              <w:rPr>
                <w:rtl/>
                <w:lang w:val="en-GB"/>
              </w:rPr>
            </w:pPr>
            <w:r w:rsidRPr="00D4746A">
              <w:rPr>
                <w:noProof/>
                <w:lang w:eastAsia="en-US"/>
              </w:rPr>
              <w:drawing>
                <wp:inline distT="0" distB="0" distL="0" distR="0">
                  <wp:extent cx="4572000" cy="2447925"/>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1B6EC7" w:rsidRPr="001B6EC7" w:rsidRDefault="001B6EC7" w:rsidP="001B6EC7">
      <w:pPr>
        <w:bidi w:val="0"/>
        <w:jc w:val="center"/>
        <w:rPr>
          <w:rFonts w:ascii="Arial" w:hAnsi="Arial" w:cs="Arial"/>
          <w:b/>
          <w:bCs/>
          <w:sz w:val="16"/>
          <w:szCs w:val="16"/>
        </w:rPr>
      </w:pPr>
    </w:p>
    <w:p w:rsidR="00C75E7D" w:rsidRDefault="00C75E7D" w:rsidP="00C75E7D">
      <w:pPr>
        <w:bidi w:val="0"/>
        <w:jc w:val="center"/>
        <w:rPr>
          <w:rFonts w:ascii="Arial" w:hAnsi="Arial" w:cs="Arial"/>
          <w:b/>
          <w:bCs/>
          <w:sz w:val="22"/>
          <w:szCs w:val="22"/>
        </w:rPr>
      </w:pPr>
    </w:p>
    <w:p w:rsidR="003A7559" w:rsidRDefault="003A7559" w:rsidP="000E4D67">
      <w:pPr>
        <w:bidi w:val="0"/>
        <w:jc w:val="center"/>
        <w:rPr>
          <w:rFonts w:ascii="Arial" w:hAnsi="Arial" w:cs="Arial"/>
          <w:b/>
          <w:bCs/>
          <w:sz w:val="22"/>
          <w:szCs w:val="22"/>
        </w:rPr>
      </w:pPr>
    </w:p>
    <w:p w:rsidR="007F12D3" w:rsidRDefault="007F12D3">
      <w:pPr>
        <w:bidi w:val="0"/>
        <w:rPr>
          <w:rFonts w:ascii="Arial" w:hAnsi="Arial" w:cs="Arial"/>
          <w:b/>
          <w:bCs/>
          <w:sz w:val="22"/>
          <w:szCs w:val="22"/>
        </w:rPr>
      </w:pPr>
      <w:r>
        <w:rPr>
          <w:rFonts w:ascii="Arial" w:hAnsi="Arial" w:cs="Arial"/>
          <w:b/>
          <w:bCs/>
          <w:sz w:val="22"/>
          <w:szCs w:val="22"/>
        </w:rPr>
        <w:br w:type="page"/>
      </w:r>
    </w:p>
    <w:p w:rsidR="00324C0D" w:rsidRDefault="00324C0D" w:rsidP="003A7559">
      <w:pPr>
        <w:bidi w:val="0"/>
        <w:jc w:val="center"/>
        <w:rPr>
          <w:rFonts w:ascii="Arial" w:hAnsi="Arial" w:cs="Arial"/>
          <w:b/>
          <w:bCs/>
          <w:sz w:val="22"/>
          <w:szCs w:val="22"/>
        </w:rPr>
      </w:pPr>
      <w:r>
        <w:rPr>
          <w:rFonts w:ascii="Arial" w:hAnsi="Arial" w:cs="Arial"/>
          <w:b/>
          <w:bCs/>
          <w:sz w:val="22"/>
          <w:szCs w:val="22"/>
        </w:rPr>
        <w:lastRenderedPageBreak/>
        <w:t>G</w:t>
      </w:r>
      <w:r w:rsidR="00B2020A">
        <w:rPr>
          <w:rFonts w:ascii="Arial" w:hAnsi="Arial" w:cs="Arial"/>
          <w:b/>
          <w:bCs/>
          <w:sz w:val="22"/>
          <w:szCs w:val="22"/>
        </w:rPr>
        <w:t>DP</w:t>
      </w:r>
      <w:r>
        <w:rPr>
          <w:rFonts w:ascii="Arial" w:hAnsi="Arial" w:cs="Arial"/>
          <w:b/>
          <w:bCs/>
          <w:sz w:val="22"/>
          <w:szCs w:val="22"/>
        </w:rPr>
        <w:t xml:space="preserve"> in Palestine* by institutional sector for </w:t>
      </w:r>
      <w:r w:rsidR="000E4D67">
        <w:rPr>
          <w:rFonts w:ascii="Arial" w:hAnsi="Arial" w:cs="Arial"/>
          <w:b/>
          <w:bCs/>
          <w:sz w:val="22"/>
          <w:szCs w:val="22"/>
        </w:rPr>
        <w:t>2012</w:t>
      </w:r>
      <w:r w:rsidR="00C75E7D">
        <w:rPr>
          <w:rFonts w:ascii="Arial" w:hAnsi="Arial" w:cs="Arial"/>
          <w:b/>
          <w:bCs/>
          <w:sz w:val="22"/>
          <w:szCs w:val="22"/>
        </w:rPr>
        <w:t>, 2013</w:t>
      </w:r>
      <w:r>
        <w:rPr>
          <w:rFonts w:ascii="Arial" w:hAnsi="Arial" w:cs="Arial"/>
          <w:b/>
          <w:bCs/>
          <w:sz w:val="22"/>
          <w:szCs w:val="22"/>
        </w:rPr>
        <w:t xml:space="preserve"> at current </w:t>
      </w:r>
      <w:r w:rsidR="000E4D67">
        <w:rPr>
          <w:rFonts w:ascii="Arial" w:hAnsi="Arial" w:cs="Arial"/>
          <w:b/>
          <w:bCs/>
          <w:sz w:val="22"/>
          <w:szCs w:val="22"/>
        </w:rPr>
        <w:t xml:space="preserve">and constant </w:t>
      </w:r>
      <w:r>
        <w:rPr>
          <w:rFonts w:ascii="Arial" w:hAnsi="Arial" w:cs="Arial"/>
          <w:b/>
          <w:bCs/>
          <w:sz w:val="22"/>
          <w:szCs w:val="22"/>
        </w:rPr>
        <w:t>prices</w:t>
      </w:r>
    </w:p>
    <w:p w:rsidR="001B6EC7" w:rsidRPr="001B6EC7" w:rsidRDefault="001B6EC7" w:rsidP="001B6EC7">
      <w:pPr>
        <w:bidi w:val="0"/>
        <w:jc w:val="center"/>
        <w:rPr>
          <w:rFonts w:ascii="Arial" w:eastAsia="Arial Unicode MS" w:hAnsi="Arial" w:cs="Arial"/>
          <w:b/>
          <w:bCs/>
          <w:sz w:val="8"/>
          <w:szCs w:val="8"/>
        </w:rPr>
      </w:pPr>
    </w:p>
    <w:p w:rsidR="00C75E7D" w:rsidRDefault="00324C0D" w:rsidP="00C75E7D">
      <w:pPr>
        <w:bidi w:val="0"/>
        <w:ind w:left="-180"/>
        <w:rPr>
          <w:rFonts w:asciiTheme="majorBidi" w:hAnsiTheme="majorBidi" w:cstheme="majorBidi"/>
          <w:sz w:val="18"/>
          <w:szCs w:val="18"/>
        </w:rPr>
      </w:pPr>
      <w:r>
        <w:rPr>
          <w:rFonts w:ascii="Arial" w:hAnsi="Arial" w:cs="Arial"/>
          <w:sz w:val="18"/>
          <w:szCs w:val="18"/>
          <w:lang w:eastAsia="en-US"/>
        </w:rPr>
        <w:t xml:space="preserve">    </w:t>
      </w:r>
      <w:r w:rsidR="007F12D3">
        <w:rPr>
          <w:rFonts w:ascii="Arial" w:hAnsi="Arial" w:cs="Arial"/>
          <w:sz w:val="18"/>
          <w:szCs w:val="18"/>
          <w:lang w:eastAsia="en-US"/>
        </w:rPr>
        <w:t xml:space="preserve">   </w:t>
      </w:r>
      <w:r>
        <w:rPr>
          <w:rFonts w:ascii="Arial" w:hAnsi="Arial" w:cs="Arial"/>
          <w:sz w:val="18"/>
          <w:szCs w:val="18"/>
          <w:lang w:eastAsia="en-US"/>
        </w:rPr>
        <w:t>(</w:t>
      </w:r>
      <w:r>
        <w:rPr>
          <w:rFonts w:ascii="Arial" w:hAnsi="Arial" w:cs="Arial"/>
          <w:snapToGrid w:val="0"/>
          <w:sz w:val="18"/>
          <w:szCs w:val="18"/>
        </w:rPr>
        <w:t xml:space="preserve">Value </w:t>
      </w:r>
      <w:r w:rsidR="00B2020A">
        <w:rPr>
          <w:rFonts w:ascii="Arial" w:hAnsi="Arial" w:cs="Arial"/>
          <w:snapToGrid w:val="0"/>
          <w:sz w:val="18"/>
          <w:szCs w:val="18"/>
        </w:rPr>
        <w:t>i</w:t>
      </w:r>
      <w:r>
        <w:rPr>
          <w:rFonts w:ascii="Arial" w:hAnsi="Arial" w:cs="Arial"/>
          <w:snapToGrid w:val="0"/>
          <w:sz w:val="18"/>
          <w:szCs w:val="18"/>
        </w:rPr>
        <w:t>n USD Million)</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58"/>
        <w:gridCol w:w="1383"/>
        <w:gridCol w:w="1383"/>
        <w:gridCol w:w="1382"/>
        <w:gridCol w:w="1383"/>
      </w:tblGrid>
      <w:tr w:rsidR="00C75E7D" w:rsidTr="00FF2883">
        <w:trPr>
          <w:cantSplit/>
          <w:trHeight w:val="340"/>
          <w:jc w:val="center"/>
        </w:trPr>
        <w:tc>
          <w:tcPr>
            <w:tcW w:w="1853" w:type="pct"/>
            <w:vMerge w:val="restart"/>
            <w:tcBorders>
              <w:right w:val="single" w:sz="4" w:space="0" w:color="auto"/>
            </w:tcBorders>
            <w:vAlign w:val="center"/>
          </w:tcPr>
          <w:p w:rsidR="00C75E7D" w:rsidRDefault="00C75E7D" w:rsidP="007F12D3">
            <w:pPr>
              <w:pStyle w:val="Heading5"/>
              <w:rPr>
                <w:lang w:eastAsia="ar-SA"/>
              </w:rPr>
            </w:pPr>
            <w:r>
              <w:t>Sector</w:t>
            </w:r>
          </w:p>
        </w:tc>
        <w:tc>
          <w:tcPr>
            <w:tcW w:w="1574" w:type="pct"/>
            <w:gridSpan w:val="2"/>
            <w:tcBorders>
              <w:bottom w:val="nil"/>
              <w:right w:val="single" w:sz="4" w:space="0" w:color="auto"/>
            </w:tcBorders>
            <w:vAlign w:val="center"/>
          </w:tcPr>
          <w:p w:rsidR="00C75E7D" w:rsidRDefault="00C75E7D" w:rsidP="00197BCC">
            <w:pPr>
              <w:pStyle w:val="Heading5"/>
              <w:rPr>
                <w:lang w:eastAsia="ar-SA"/>
              </w:rPr>
            </w:pPr>
            <w:r>
              <w:rPr>
                <w:lang w:eastAsia="ar-SA"/>
              </w:rPr>
              <w:t xml:space="preserve">Current Prices </w:t>
            </w:r>
          </w:p>
        </w:tc>
        <w:tc>
          <w:tcPr>
            <w:tcW w:w="1573" w:type="pct"/>
            <w:gridSpan w:val="2"/>
            <w:tcBorders>
              <w:bottom w:val="nil"/>
              <w:right w:val="single" w:sz="4" w:space="0" w:color="auto"/>
            </w:tcBorders>
            <w:vAlign w:val="center"/>
          </w:tcPr>
          <w:p w:rsidR="00C75E7D" w:rsidRDefault="00C75E7D" w:rsidP="00197BCC">
            <w:pPr>
              <w:pStyle w:val="Heading5"/>
              <w:rPr>
                <w:lang w:eastAsia="ar-SA"/>
              </w:rPr>
            </w:pPr>
            <w:r>
              <w:rPr>
                <w:lang w:eastAsia="ar-SA"/>
              </w:rPr>
              <w:t xml:space="preserve">Constant Prices </w:t>
            </w:r>
          </w:p>
        </w:tc>
      </w:tr>
      <w:tr w:rsidR="00C75E7D" w:rsidTr="00FF2883">
        <w:trPr>
          <w:cantSplit/>
          <w:trHeight w:val="340"/>
          <w:jc w:val="center"/>
        </w:trPr>
        <w:tc>
          <w:tcPr>
            <w:tcW w:w="1853" w:type="pct"/>
            <w:vMerge/>
            <w:tcBorders>
              <w:bottom w:val="single" w:sz="4" w:space="0" w:color="auto"/>
              <w:right w:val="single" w:sz="4" w:space="0" w:color="auto"/>
            </w:tcBorders>
            <w:vAlign w:val="center"/>
          </w:tcPr>
          <w:p w:rsidR="00C75E7D" w:rsidRDefault="00C75E7D" w:rsidP="00197BCC">
            <w:pPr>
              <w:pStyle w:val="Heading5"/>
              <w:rPr>
                <w:lang w:eastAsia="ar-SA"/>
              </w:rPr>
            </w:pPr>
          </w:p>
        </w:tc>
        <w:tc>
          <w:tcPr>
            <w:tcW w:w="787" w:type="pct"/>
            <w:tcBorders>
              <w:bottom w:val="single" w:sz="4" w:space="0" w:color="auto"/>
              <w:right w:val="single" w:sz="4" w:space="0" w:color="auto"/>
            </w:tcBorders>
            <w:vAlign w:val="center"/>
          </w:tcPr>
          <w:p w:rsidR="00C75E7D" w:rsidRPr="00C94B54" w:rsidRDefault="003D623B" w:rsidP="00197BCC">
            <w:pPr>
              <w:pStyle w:val="Heading5"/>
              <w:rPr>
                <w:rFonts w:asciiTheme="minorBidi" w:hAnsiTheme="minorBidi" w:cstheme="minorBidi"/>
                <w:lang w:eastAsia="ar-SA"/>
              </w:rPr>
            </w:pPr>
            <w:r>
              <w:rPr>
                <w:rFonts w:asciiTheme="minorBidi" w:hAnsiTheme="minorBidi" w:cstheme="minorBidi"/>
                <w:lang w:eastAsia="ar-SA"/>
              </w:rPr>
              <w:t>2012</w:t>
            </w:r>
          </w:p>
        </w:tc>
        <w:tc>
          <w:tcPr>
            <w:tcW w:w="787" w:type="pct"/>
            <w:tcBorders>
              <w:bottom w:val="single" w:sz="4" w:space="0" w:color="auto"/>
              <w:right w:val="single" w:sz="4" w:space="0" w:color="auto"/>
            </w:tcBorders>
            <w:vAlign w:val="center"/>
          </w:tcPr>
          <w:p w:rsidR="00C75E7D" w:rsidRPr="00C94B54" w:rsidRDefault="00C75E7D" w:rsidP="00197BCC">
            <w:pPr>
              <w:pStyle w:val="Heading5"/>
              <w:rPr>
                <w:rFonts w:asciiTheme="minorBidi" w:hAnsiTheme="minorBidi" w:cstheme="minorBidi"/>
                <w:lang w:eastAsia="ar-SA"/>
              </w:rPr>
            </w:pPr>
            <w:r>
              <w:rPr>
                <w:rFonts w:asciiTheme="minorBidi" w:hAnsiTheme="minorBidi" w:cstheme="minorBidi"/>
                <w:lang w:eastAsia="ar-SA"/>
              </w:rPr>
              <w:t>2013</w:t>
            </w:r>
          </w:p>
        </w:tc>
        <w:tc>
          <w:tcPr>
            <w:tcW w:w="786" w:type="pct"/>
            <w:tcBorders>
              <w:bottom w:val="single" w:sz="4" w:space="0" w:color="auto"/>
              <w:right w:val="single" w:sz="4" w:space="0" w:color="auto"/>
            </w:tcBorders>
            <w:vAlign w:val="center"/>
          </w:tcPr>
          <w:p w:rsidR="00C75E7D" w:rsidRPr="00C94B54" w:rsidRDefault="003D623B" w:rsidP="00197BCC">
            <w:pPr>
              <w:pStyle w:val="Heading5"/>
              <w:rPr>
                <w:rFonts w:asciiTheme="minorBidi" w:hAnsiTheme="minorBidi" w:cstheme="minorBidi"/>
                <w:lang w:eastAsia="ar-SA"/>
              </w:rPr>
            </w:pPr>
            <w:r>
              <w:rPr>
                <w:rFonts w:asciiTheme="minorBidi" w:hAnsiTheme="minorBidi" w:cstheme="minorBidi"/>
                <w:lang w:eastAsia="ar-SA"/>
              </w:rPr>
              <w:t>2012</w:t>
            </w:r>
          </w:p>
        </w:tc>
        <w:tc>
          <w:tcPr>
            <w:tcW w:w="787" w:type="pct"/>
            <w:tcBorders>
              <w:bottom w:val="single" w:sz="4" w:space="0" w:color="auto"/>
              <w:right w:val="single" w:sz="4" w:space="0" w:color="auto"/>
            </w:tcBorders>
            <w:vAlign w:val="center"/>
          </w:tcPr>
          <w:p w:rsidR="00C75E7D" w:rsidRPr="00C94B54" w:rsidRDefault="00C75E7D" w:rsidP="00197BCC">
            <w:pPr>
              <w:pStyle w:val="Heading5"/>
              <w:rPr>
                <w:rFonts w:asciiTheme="minorBidi" w:hAnsiTheme="minorBidi" w:cstheme="minorBidi"/>
                <w:lang w:eastAsia="ar-SA"/>
              </w:rPr>
            </w:pPr>
            <w:r>
              <w:rPr>
                <w:rFonts w:asciiTheme="minorBidi" w:hAnsiTheme="minorBidi" w:cstheme="minorBidi"/>
                <w:lang w:eastAsia="ar-SA"/>
              </w:rPr>
              <w:t>2013</w:t>
            </w:r>
          </w:p>
        </w:tc>
      </w:tr>
      <w:tr w:rsidR="00FF2883" w:rsidTr="00FF2883">
        <w:trPr>
          <w:cantSplit/>
          <w:trHeight w:val="340"/>
          <w:jc w:val="center"/>
        </w:trPr>
        <w:tc>
          <w:tcPr>
            <w:tcW w:w="1853" w:type="pct"/>
            <w:tcBorders>
              <w:bottom w:val="nil"/>
              <w:right w:val="single" w:sz="4" w:space="0" w:color="auto"/>
            </w:tcBorders>
            <w:vAlign w:val="center"/>
          </w:tcPr>
          <w:p w:rsidR="00FF2883" w:rsidRDefault="00FF2883" w:rsidP="00197BCC">
            <w:pPr>
              <w:bidi w:val="0"/>
              <w:rPr>
                <w:rFonts w:ascii="Arial" w:hAnsi="Arial" w:cs="Arial"/>
                <w:snapToGrid w:val="0"/>
                <w:sz w:val="18"/>
                <w:szCs w:val="18"/>
              </w:rPr>
            </w:pPr>
            <w:r>
              <w:rPr>
                <w:rFonts w:ascii="Arial" w:hAnsi="Arial" w:cs="Arial"/>
                <w:snapToGrid w:val="0"/>
                <w:sz w:val="18"/>
                <w:szCs w:val="18"/>
              </w:rPr>
              <w:t>Household sector</w:t>
            </w:r>
          </w:p>
        </w:tc>
        <w:tc>
          <w:tcPr>
            <w:tcW w:w="787" w:type="pct"/>
            <w:tcBorders>
              <w:left w:val="single" w:sz="4" w:space="0" w:color="auto"/>
              <w:bottom w:val="nil"/>
              <w:right w:val="nil"/>
            </w:tcBorders>
            <w:vAlign w:val="center"/>
          </w:tcPr>
          <w:p w:rsidR="00FF2883" w:rsidRPr="00B7289E" w:rsidRDefault="00FF2883" w:rsidP="007F12D3">
            <w:pPr>
              <w:ind w:left="138" w:right="37"/>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3,340.8</w:t>
            </w:r>
          </w:p>
        </w:tc>
        <w:tc>
          <w:tcPr>
            <w:tcW w:w="787" w:type="pct"/>
            <w:tcBorders>
              <w:left w:val="nil"/>
              <w:bottom w:val="nil"/>
              <w:right w:val="nil"/>
            </w:tcBorders>
            <w:vAlign w:val="center"/>
          </w:tcPr>
          <w:p w:rsidR="00FF2883" w:rsidRPr="00BC40B1" w:rsidRDefault="00FF2883" w:rsidP="007671E8">
            <w:pPr>
              <w:bidi w:val="0"/>
              <w:ind w:right="186" w:firstLine="59"/>
              <w:jc w:val="right"/>
              <w:rPr>
                <w:rFonts w:asciiTheme="minorBidi" w:hAnsiTheme="minorBidi" w:cstheme="minorBidi"/>
                <w:sz w:val="18"/>
                <w:szCs w:val="18"/>
              </w:rPr>
            </w:pPr>
            <w:r>
              <w:rPr>
                <w:rFonts w:asciiTheme="minorBidi" w:hAnsiTheme="minorBidi" w:cstheme="minorBidi"/>
                <w:sz w:val="18"/>
                <w:szCs w:val="18"/>
              </w:rPr>
              <w:t>3,235.1</w:t>
            </w:r>
          </w:p>
        </w:tc>
        <w:tc>
          <w:tcPr>
            <w:tcW w:w="786" w:type="pct"/>
            <w:tcBorders>
              <w:left w:val="nil"/>
              <w:bottom w:val="nil"/>
              <w:right w:val="nil"/>
            </w:tcBorders>
            <w:vAlign w:val="center"/>
          </w:tcPr>
          <w:p w:rsidR="00FF2883" w:rsidRPr="004126C0" w:rsidRDefault="00FF2883" w:rsidP="007F12D3">
            <w:pPr>
              <w:bidi w:val="0"/>
              <w:ind w:left="138" w:right="179" w:hanging="138"/>
              <w:jc w:val="right"/>
              <w:rPr>
                <w:rFonts w:asciiTheme="minorBidi" w:hAnsiTheme="minorBidi" w:cstheme="minorBidi"/>
                <w:sz w:val="18"/>
                <w:szCs w:val="18"/>
              </w:rPr>
            </w:pPr>
            <w:r>
              <w:rPr>
                <w:rFonts w:asciiTheme="minorBidi" w:hAnsiTheme="minorBidi" w:cstheme="minorBidi"/>
                <w:sz w:val="18"/>
                <w:szCs w:val="18"/>
              </w:rPr>
              <w:t>2,265.8</w:t>
            </w:r>
          </w:p>
        </w:tc>
        <w:tc>
          <w:tcPr>
            <w:tcW w:w="787" w:type="pct"/>
            <w:tcBorders>
              <w:left w:val="nil"/>
              <w:bottom w:val="nil"/>
              <w:right w:val="single" w:sz="4" w:space="0" w:color="auto"/>
            </w:tcBorders>
            <w:vAlign w:val="center"/>
          </w:tcPr>
          <w:p w:rsidR="00FF2883" w:rsidRPr="004126C0" w:rsidRDefault="00FF2883" w:rsidP="007671E8">
            <w:pPr>
              <w:bidi w:val="0"/>
              <w:ind w:right="186" w:firstLine="59"/>
              <w:jc w:val="right"/>
              <w:rPr>
                <w:rFonts w:asciiTheme="minorBidi" w:hAnsiTheme="minorBidi" w:cstheme="minorBidi"/>
                <w:sz w:val="18"/>
                <w:szCs w:val="18"/>
              </w:rPr>
            </w:pPr>
            <w:r>
              <w:rPr>
                <w:rFonts w:asciiTheme="minorBidi" w:hAnsiTheme="minorBidi" w:cstheme="minorBidi"/>
                <w:sz w:val="18"/>
                <w:szCs w:val="18"/>
              </w:rPr>
              <w:t>2,067.2</w:t>
            </w:r>
          </w:p>
        </w:tc>
      </w:tr>
      <w:tr w:rsidR="00FF2883" w:rsidTr="00FF2883">
        <w:trPr>
          <w:cantSplit/>
          <w:trHeight w:val="340"/>
          <w:jc w:val="center"/>
        </w:trPr>
        <w:tc>
          <w:tcPr>
            <w:tcW w:w="1853" w:type="pct"/>
            <w:tcBorders>
              <w:top w:val="nil"/>
              <w:bottom w:val="nil"/>
              <w:right w:val="single" w:sz="4" w:space="0" w:color="auto"/>
            </w:tcBorders>
            <w:vAlign w:val="center"/>
          </w:tcPr>
          <w:p w:rsidR="00FF2883" w:rsidRDefault="00FF2883" w:rsidP="00197BCC">
            <w:pPr>
              <w:bidi w:val="0"/>
              <w:rPr>
                <w:rFonts w:ascii="Arial" w:hAnsi="Arial" w:cs="Arial"/>
                <w:snapToGrid w:val="0"/>
                <w:sz w:val="18"/>
                <w:szCs w:val="18"/>
              </w:rPr>
            </w:pPr>
            <w:r>
              <w:rPr>
                <w:rFonts w:ascii="Arial" w:hAnsi="Arial" w:cs="Arial"/>
                <w:snapToGrid w:val="0"/>
                <w:sz w:val="18"/>
                <w:szCs w:val="18"/>
              </w:rPr>
              <w:t>NPISH sector</w:t>
            </w:r>
          </w:p>
        </w:tc>
        <w:tc>
          <w:tcPr>
            <w:tcW w:w="787" w:type="pct"/>
            <w:tcBorders>
              <w:top w:val="nil"/>
              <w:left w:val="single" w:sz="4" w:space="0" w:color="auto"/>
              <w:bottom w:val="nil"/>
              <w:right w:val="nil"/>
            </w:tcBorders>
            <w:vAlign w:val="center"/>
          </w:tcPr>
          <w:p w:rsidR="00FF2883" w:rsidRPr="002463FA" w:rsidRDefault="00FF2883" w:rsidP="007F12D3">
            <w:pPr>
              <w:ind w:left="138" w:right="37"/>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597.4</w:t>
            </w:r>
          </w:p>
        </w:tc>
        <w:tc>
          <w:tcPr>
            <w:tcW w:w="787" w:type="pct"/>
            <w:tcBorders>
              <w:top w:val="nil"/>
              <w:left w:val="nil"/>
              <w:bottom w:val="nil"/>
              <w:right w:val="nil"/>
            </w:tcBorders>
            <w:vAlign w:val="center"/>
          </w:tcPr>
          <w:p w:rsidR="00FF2883" w:rsidRPr="00BC40B1" w:rsidRDefault="00FF2883" w:rsidP="007671E8">
            <w:pPr>
              <w:bidi w:val="0"/>
              <w:ind w:right="186" w:firstLine="59"/>
              <w:jc w:val="right"/>
              <w:rPr>
                <w:rFonts w:asciiTheme="minorBidi" w:hAnsiTheme="minorBidi" w:cstheme="minorBidi"/>
                <w:sz w:val="18"/>
                <w:szCs w:val="18"/>
              </w:rPr>
            </w:pPr>
            <w:r>
              <w:rPr>
                <w:rFonts w:asciiTheme="minorBidi" w:hAnsiTheme="minorBidi" w:cstheme="minorBidi"/>
                <w:sz w:val="18"/>
                <w:szCs w:val="18"/>
              </w:rPr>
              <w:t>722.4</w:t>
            </w:r>
          </w:p>
        </w:tc>
        <w:tc>
          <w:tcPr>
            <w:tcW w:w="786" w:type="pct"/>
            <w:tcBorders>
              <w:top w:val="nil"/>
              <w:left w:val="nil"/>
              <w:bottom w:val="nil"/>
              <w:right w:val="nil"/>
            </w:tcBorders>
            <w:vAlign w:val="center"/>
          </w:tcPr>
          <w:p w:rsidR="00FF2883" w:rsidRPr="004126C0" w:rsidRDefault="00FF2883" w:rsidP="007F12D3">
            <w:pPr>
              <w:bidi w:val="0"/>
              <w:ind w:left="138" w:right="179" w:hanging="138"/>
              <w:jc w:val="right"/>
              <w:rPr>
                <w:rFonts w:asciiTheme="minorBidi" w:hAnsiTheme="minorBidi" w:cstheme="minorBidi"/>
                <w:sz w:val="18"/>
                <w:szCs w:val="18"/>
              </w:rPr>
            </w:pPr>
            <w:r>
              <w:rPr>
                <w:rFonts w:asciiTheme="minorBidi" w:hAnsiTheme="minorBidi" w:cstheme="minorBidi"/>
                <w:sz w:val="18"/>
                <w:szCs w:val="18"/>
              </w:rPr>
              <w:t>387.7</w:t>
            </w:r>
          </w:p>
        </w:tc>
        <w:tc>
          <w:tcPr>
            <w:tcW w:w="787" w:type="pct"/>
            <w:tcBorders>
              <w:top w:val="nil"/>
              <w:left w:val="nil"/>
              <w:bottom w:val="nil"/>
              <w:right w:val="single" w:sz="4" w:space="0" w:color="auto"/>
            </w:tcBorders>
            <w:vAlign w:val="center"/>
          </w:tcPr>
          <w:p w:rsidR="00FF2883" w:rsidRPr="004126C0" w:rsidRDefault="00FF2883" w:rsidP="007671E8">
            <w:pPr>
              <w:bidi w:val="0"/>
              <w:ind w:right="186" w:firstLine="59"/>
              <w:jc w:val="right"/>
              <w:rPr>
                <w:rFonts w:asciiTheme="minorBidi" w:hAnsiTheme="minorBidi" w:cstheme="minorBidi"/>
                <w:sz w:val="18"/>
                <w:szCs w:val="18"/>
              </w:rPr>
            </w:pPr>
            <w:r>
              <w:rPr>
                <w:rFonts w:asciiTheme="minorBidi" w:hAnsiTheme="minorBidi" w:cstheme="minorBidi"/>
                <w:sz w:val="18"/>
                <w:szCs w:val="18"/>
              </w:rPr>
              <w:t>357.9</w:t>
            </w:r>
          </w:p>
        </w:tc>
      </w:tr>
      <w:tr w:rsidR="00FF2883" w:rsidTr="00FF2883">
        <w:trPr>
          <w:cantSplit/>
          <w:trHeight w:val="340"/>
          <w:jc w:val="center"/>
        </w:trPr>
        <w:tc>
          <w:tcPr>
            <w:tcW w:w="1853" w:type="pct"/>
            <w:tcBorders>
              <w:top w:val="nil"/>
              <w:bottom w:val="nil"/>
              <w:right w:val="single" w:sz="4" w:space="0" w:color="auto"/>
            </w:tcBorders>
            <w:vAlign w:val="center"/>
          </w:tcPr>
          <w:p w:rsidR="00FF2883" w:rsidRDefault="00FF2883" w:rsidP="00197BCC">
            <w:pPr>
              <w:bidi w:val="0"/>
              <w:rPr>
                <w:rFonts w:ascii="Arial" w:hAnsi="Arial" w:cs="Arial"/>
                <w:snapToGrid w:val="0"/>
                <w:sz w:val="18"/>
                <w:szCs w:val="18"/>
              </w:rPr>
            </w:pPr>
            <w:r>
              <w:rPr>
                <w:rFonts w:ascii="Arial" w:hAnsi="Arial" w:cs="Arial"/>
                <w:snapToGrid w:val="0"/>
                <w:sz w:val="18"/>
                <w:szCs w:val="18"/>
              </w:rPr>
              <w:t>Government sector</w:t>
            </w:r>
          </w:p>
        </w:tc>
        <w:tc>
          <w:tcPr>
            <w:tcW w:w="787" w:type="pct"/>
            <w:tcBorders>
              <w:top w:val="nil"/>
              <w:left w:val="single" w:sz="4" w:space="0" w:color="auto"/>
              <w:bottom w:val="nil"/>
              <w:right w:val="nil"/>
            </w:tcBorders>
            <w:vAlign w:val="center"/>
          </w:tcPr>
          <w:p w:rsidR="00FF2883" w:rsidRPr="002854BE" w:rsidRDefault="00FF2883" w:rsidP="007F12D3">
            <w:pPr>
              <w:ind w:left="138" w:right="37"/>
              <w:jc w:val="both"/>
              <w:rPr>
                <w:rFonts w:asciiTheme="minorBidi" w:hAnsiTheme="minorBidi" w:cstheme="minorBidi"/>
                <w:color w:val="000000"/>
                <w:sz w:val="18"/>
                <w:szCs w:val="18"/>
              </w:rPr>
            </w:pPr>
            <w:r w:rsidRPr="002854BE">
              <w:rPr>
                <w:rFonts w:asciiTheme="minorBidi" w:hAnsiTheme="minorBidi" w:cstheme="minorBidi"/>
                <w:color w:val="000000"/>
                <w:sz w:val="18"/>
                <w:szCs w:val="18"/>
              </w:rPr>
              <w:t>2,199.8</w:t>
            </w:r>
          </w:p>
        </w:tc>
        <w:tc>
          <w:tcPr>
            <w:tcW w:w="787" w:type="pct"/>
            <w:tcBorders>
              <w:top w:val="nil"/>
              <w:left w:val="nil"/>
              <w:bottom w:val="nil"/>
              <w:right w:val="nil"/>
            </w:tcBorders>
            <w:vAlign w:val="center"/>
          </w:tcPr>
          <w:p w:rsidR="00FF2883" w:rsidRPr="00BC40B1" w:rsidRDefault="00FF2883" w:rsidP="007671E8">
            <w:pPr>
              <w:bidi w:val="0"/>
              <w:ind w:right="186" w:firstLine="59"/>
              <w:jc w:val="right"/>
              <w:rPr>
                <w:rFonts w:asciiTheme="minorBidi" w:hAnsiTheme="minorBidi" w:cstheme="minorBidi"/>
                <w:sz w:val="18"/>
                <w:szCs w:val="18"/>
              </w:rPr>
            </w:pPr>
            <w:r w:rsidRPr="00BC40B1">
              <w:rPr>
                <w:rFonts w:asciiTheme="minorBidi" w:hAnsiTheme="minorBidi" w:cstheme="minorBidi"/>
                <w:sz w:val="18"/>
                <w:szCs w:val="18"/>
              </w:rPr>
              <w:t>2,815.0</w:t>
            </w:r>
          </w:p>
        </w:tc>
        <w:tc>
          <w:tcPr>
            <w:tcW w:w="786" w:type="pct"/>
            <w:tcBorders>
              <w:top w:val="nil"/>
              <w:left w:val="nil"/>
              <w:bottom w:val="nil"/>
              <w:right w:val="nil"/>
            </w:tcBorders>
            <w:vAlign w:val="center"/>
          </w:tcPr>
          <w:p w:rsidR="00FF2883" w:rsidRPr="004126C0" w:rsidRDefault="00FF2883" w:rsidP="007F12D3">
            <w:pPr>
              <w:bidi w:val="0"/>
              <w:ind w:left="138" w:right="179" w:hanging="138"/>
              <w:jc w:val="right"/>
              <w:rPr>
                <w:rFonts w:asciiTheme="minorBidi" w:hAnsiTheme="minorBidi" w:cstheme="minorBidi"/>
                <w:sz w:val="18"/>
                <w:szCs w:val="18"/>
              </w:rPr>
            </w:pPr>
            <w:r>
              <w:rPr>
                <w:rFonts w:asciiTheme="minorBidi" w:hAnsiTheme="minorBidi" w:cstheme="minorBidi"/>
                <w:sz w:val="18"/>
                <w:szCs w:val="18"/>
              </w:rPr>
              <w:t>1,328.7</w:t>
            </w:r>
          </w:p>
        </w:tc>
        <w:tc>
          <w:tcPr>
            <w:tcW w:w="787" w:type="pct"/>
            <w:tcBorders>
              <w:top w:val="nil"/>
              <w:left w:val="nil"/>
              <w:bottom w:val="nil"/>
              <w:right w:val="single" w:sz="4" w:space="0" w:color="auto"/>
            </w:tcBorders>
            <w:vAlign w:val="center"/>
          </w:tcPr>
          <w:p w:rsidR="00FF2883" w:rsidRPr="004126C0" w:rsidRDefault="00FF2883" w:rsidP="007671E8">
            <w:pPr>
              <w:bidi w:val="0"/>
              <w:ind w:right="186" w:firstLine="59"/>
              <w:jc w:val="right"/>
              <w:rPr>
                <w:rFonts w:asciiTheme="minorBidi" w:hAnsiTheme="minorBidi" w:cstheme="minorBidi"/>
                <w:sz w:val="18"/>
                <w:szCs w:val="18"/>
              </w:rPr>
            </w:pPr>
            <w:r>
              <w:rPr>
                <w:rFonts w:asciiTheme="minorBidi" w:hAnsiTheme="minorBidi" w:cstheme="minorBidi"/>
                <w:sz w:val="18"/>
                <w:szCs w:val="18"/>
              </w:rPr>
              <w:t>1,509.8</w:t>
            </w:r>
          </w:p>
        </w:tc>
      </w:tr>
      <w:tr w:rsidR="00FF2883" w:rsidTr="00FF2883">
        <w:trPr>
          <w:cantSplit/>
          <w:trHeight w:val="340"/>
          <w:jc w:val="center"/>
        </w:trPr>
        <w:tc>
          <w:tcPr>
            <w:tcW w:w="1853" w:type="pct"/>
            <w:tcBorders>
              <w:top w:val="nil"/>
              <w:bottom w:val="nil"/>
              <w:right w:val="single" w:sz="4" w:space="0" w:color="auto"/>
            </w:tcBorders>
            <w:vAlign w:val="center"/>
          </w:tcPr>
          <w:p w:rsidR="00FF2883" w:rsidRDefault="00FF2883" w:rsidP="00197BCC">
            <w:pPr>
              <w:bidi w:val="0"/>
              <w:rPr>
                <w:rFonts w:ascii="Arial" w:hAnsi="Arial" w:cs="Arial"/>
                <w:snapToGrid w:val="0"/>
                <w:sz w:val="18"/>
                <w:szCs w:val="18"/>
              </w:rPr>
            </w:pPr>
            <w:r>
              <w:rPr>
                <w:rFonts w:ascii="Arial" w:hAnsi="Arial" w:cs="Arial"/>
                <w:snapToGrid w:val="0"/>
                <w:sz w:val="18"/>
                <w:szCs w:val="18"/>
              </w:rPr>
              <w:t>Financial enterprises sector</w:t>
            </w:r>
          </w:p>
        </w:tc>
        <w:tc>
          <w:tcPr>
            <w:tcW w:w="787" w:type="pct"/>
            <w:tcBorders>
              <w:top w:val="nil"/>
              <w:left w:val="single" w:sz="4" w:space="0" w:color="auto"/>
              <w:bottom w:val="nil"/>
              <w:right w:val="nil"/>
            </w:tcBorders>
            <w:vAlign w:val="center"/>
          </w:tcPr>
          <w:p w:rsidR="00FF2883" w:rsidRPr="007A4F65" w:rsidRDefault="00FF2883" w:rsidP="007F12D3">
            <w:pPr>
              <w:ind w:left="138" w:right="37"/>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474.1</w:t>
            </w:r>
          </w:p>
        </w:tc>
        <w:tc>
          <w:tcPr>
            <w:tcW w:w="787" w:type="pct"/>
            <w:tcBorders>
              <w:top w:val="nil"/>
              <w:left w:val="nil"/>
              <w:bottom w:val="nil"/>
              <w:right w:val="nil"/>
            </w:tcBorders>
            <w:vAlign w:val="center"/>
          </w:tcPr>
          <w:p w:rsidR="00FF2883" w:rsidRPr="00BC40B1" w:rsidRDefault="00FF2883" w:rsidP="007671E8">
            <w:pPr>
              <w:bidi w:val="0"/>
              <w:ind w:right="186" w:firstLine="59"/>
              <w:jc w:val="right"/>
              <w:rPr>
                <w:rFonts w:asciiTheme="minorBidi" w:hAnsiTheme="minorBidi" w:cstheme="minorBidi"/>
                <w:sz w:val="18"/>
                <w:szCs w:val="18"/>
              </w:rPr>
            </w:pPr>
            <w:r w:rsidRPr="00BC40B1">
              <w:rPr>
                <w:rFonts w:asciiTheme="minorBidi" w:hAnsiTheme="minorBidi" w:cstheme="minorBidi"/>
                <w:sz w:val="18"/>
                <w:szCs w:val="18"/>
              </w:rPr>
              <w:t>404.3</w:t>
            </w:r>
          </w:p>
        </w:tc>
        <w:tc>
          <w:tcPr>
            <w:tcW w:w="786" w:type="pct"/>
            <w:tcBorders>
              <w:top w:val="nil"/>
              <w:left w:val="nil"/>
              <w:bottom w:val="nil"/>
              <w:right w:val="nil"/>
            </w:tcBorders>
            <w:vAlign w:val="center"/>
          </w:tcPr>
          <w:p w:rsidR="00FF2883" w:rsidRPr="004126C0" w:rsidRDefault="00FF2883" w:rsidP="007F12D3">
            <w:pPr>
              <w:bidi w:val="0"/>
              <w:ind w:left="138" w:right="179" w:hanging="138"/>
              <w:jc w:val="right"/>
              <w:rPr>
                <w:rFonts w:asciiTheme="minorBidi" w:hAnsiTheme="minorBidi" w:cstheme="minorBidi"/>
                <w:sz w:val="18"/>
                <w:szCs w:val="18"/>
              </w:rPr>
            </w:pPr>
            <w:r>
              <w:rPr>
                <w:rFonts w:asciiTheme="minorBidi" w:hAnsiTheme="minorBidi" w:cstheme="minorBidi"/>
                <w:sz w:val="18"/>
                <w:szCs w:val="18"/>
              </w:rPr>
              <w:t>284.8</w:t>
            </w:r>
          </w:p>
        </w:tc>
        <w:tc>
          <w:tcPr>
            <w:tcW w:w="787" w:type="pct"/>
            <w:tcBorders>
              <w:top w:val="nil"/>
              <w:left w:val="nil"/>
              <w:bottom w:val="nil"/>
              <w:right w:val="single" w:sz="4" w:space="0" w:color="auto"/>
            </w:tcBorders>
            <w:vAlign w:val="center"/>
          </w:tcPr>
          <w:p w:rsidR="00FF2883" w:rsidRPr="004126C0" w:rsidRDefault="00FF2883" w:rsidP="007671E8">
            <w:pPr>
              <w:bidi w:val="0"/>
              <w:ind w:right="186" w:firstLine="59"/>
              <w:jc w:val="right"/>
              <w:rPr>
                <w:rFonts w:asciiTheme="minorBidi" w:hAnsiTheme="minorBidi" w:cstheme="minorBidi"/>
                <w:sz w:val="18"/>
                <w:szCs w:val="18"/>
              </w:rPr>
            </w:pPr>
            <w:r>
              <w:rPr>
                <w:rFonts w:asciiTheme="minorBidi" w:hAnsiTheme="minorBidi" w:cstheme="minorBidi"/>
                <w:sz w:val="18"/>
                <w:szCs w:val="18"/>
              </w:rPr>
              <w:t>277.5</w:t>
            </w:r>
          </w:p>
        </w:tc>
      </w:tr>
      <w:tr w:rsidR="00FF2883" w:rsidTr="00FF2883">
        <w:trPr>
          <w:cantSplit/>
          <w:trHeight w:val="340"/>
          <w:jc w:val="center"/>
        </w:trPr>
        <w:tc>
          <w:tcPr>
            <w:tcW w:w="1853" w:type="pct"/>
            <w:tcBorders>
              <w:top w:val="nil"/>
              <w:bottom w:val="single" w:sz="4" w:space="0" w:color="auto"/>
              <w:right w:val="single" w:sz="4" w:space="0" w:color="auto"/>
            </w:tcBorders>
            <w:vAlign w:val="center"/>
          </w:tcPr>
          <w:p w:rsidR="00FF2883" w:rsidRDefault="00FF2883" w:rsidP="00197BCC">
            <w:pPr>
              <w:bidi w:val="0"/>
              <w:rPr>
                <w:rFonts w:ascii="Arial" w:hAnsi="Arial" w:cs="Arial"/>
                <w:snapToGrid w:val="0"/>
                <w:sz w:val="18"/>
                <w:szCs w:val="18"/>
              </w:rPr>
            </w:pPr>
            <w:r>
              <w:rPr>
                <w:rFonts w:ascii="Arial" w:hAnsi="Arial" w:cs="Arial"/>
                <w:snapToGrid w:val="0"/>
                <w:sz w:val="18"/>
                <w:szCs w:val="18"/>
              </w:rPr>
              <w:t>Non- financial enterprises sector</w:t>
            </w:r>
          </w:p>
        </w:tc>
        <w:tc>
          <w:tcPr>
            <w:tcW w:w="787" w:type="pct"/>
            <w:tcBorders>
              <w:top w:val="nil"/>
              <w:left w:val="single" w:sz="4" w:space="0" w:color="auto"/>
              <w:bottom w:val="single" w:sz="4" w:space="0" w:color="auto"/>
              <w:right w:val="nil"/>
            </w:tcBorders>
            <w:vAlign w:val="center"/>
          </w:tcPr>
          <w:p w:rsidR="00FF2883" w:rsidRPr="007A4F65" w:rsidRDefault="00FF2883" w:rsidP="007F12D3">
            <w:pPr>
              <w:ind w:left="138" w:right="37"/>
              <w:jc w:val="both"/>
              <w:rPr>
                <w:rFonts w:asciiTheme="minorBidi" w:hAnsiTheme="minorBidi" w:cstheme="minorBidi"/>
                <w:color w:val="000000"/>
                <w:sz w:val="18"/>
                <w:szCs w:val="18"/>
                <w:rtl/>
              </w:rPr>
            </w:pPr>
            <w:r w:rsidRPr="007A4F65">
              <w:rPr>
                <w:rFonts w:asciiTheme="minorBidi" w:hAnsiTheme="minorBidi" w:cstheme="minorBidi"/>
                <w:color w:val="000000"/>
                <w:sz w:val="18"/>
                <w:szCs w:val="18"/>
              </w:rPr>
              <w:t>4,667.3</w:t>
            </w:r>
          </w:p>
        </w:tc>
        <w:tc>
          <w:tcPr>
            <w:tcW w:w="787" w:type="pct"/>
            <w:tcBorders>
              <w:top w:val="nil"/>
              <w:left w:val="nil"/>
              <w:bottom w:val="single" w:sz="4" w:space="0" w:color="auto"/>
              <w:right w:val="nil"/>
            </w:tcBorders>
            <w:vAlign w:val="center"/>
          </w:tcPr>
          <w:p w:rsidR="00FF2883" w:rsidRPr="00BC40B1" w:rsidRDefault="00FF2883" w:rsidP="007671E8">
            <w:pPr>
              <w:bidi w:val="0"/>
              <w:ind w:right="186" w:firstLine="59"/>
              <w:jc w:val="right"/>
              <w:rPr>
                <w:rFonts w:asciiTheme="minorBidi" w:hAnsiTheme="minorBidi" w:cstheme="minorBidi"/>
                <w:sz w:val="18"/>
                <w:szCs w:val="18"/>
              </w:rPr>
            </w:pPr>
            <w:r>
              <w:rPr>
                <w:rFonts w:asciiTheme="minorBidi" w:hAnsiTheme="minorBidi" w:cstheme="minorBidi"/>
                <w:sz w:val="18"/>
                <w:szCs w:val="18"/>
              </w:rPr>
              <w:t>5,299.2</w:t>
            </w:r>
          </w:p>
        </w:tc>
        <w:tc>
          <w:tcPr>
            <w:tcW w:w="786" w:type="pct"/>
            <w:tcBorders>
              <w:top w:val="nil"/>
              <w:left w:val="nil"/>
              <w:bottom w:val="single" w:sz="4" w:space="0" w:color="auto"/>
              <w:right w:val="nil"/>
            </w:tcBorders>
            <w:vAlign w:val="center"/>
          </w:tcPr>
          <w:p w:rsidR="00FF2883" w:rsidRPr="004126C0" w:rsidRDefault="00FF2883" w:rsidP="007F12D3">
            <w:pPr>
              <w:bidi w:val="0"/>
              <w:ind w:left="138" w:right="179" w:hanging="138"/>
              <w:jc w:val="right"/>
              <w:rPr>
                <w:rFonts w:asciiTheme="minorBidi" w:hAnsiTheme="minorBidi" w:cstheme="minorBidi"/>
                <w:sz w:val="18"/>
                <w:szCs w:val="18"/>
              </w:rPr>
            </w:pPr>
            <w:r>
              <w:rPr>
                <w:rFonts w:asciiTheme="minorBidi" w:hAnsiTheme="minorBidi" w:cstheme="minorBidi"/>
                <w:sz w:val="18"/>
                <w:szCs w:val="18"/>
              </w:rPr>
              <w:t>3,047.8</w:t>
            </w:r>
          </w:p>
        </w:tc>
        <w:tc>
          <w:tcPr>
            <w:tcW w:w="787" w:type="pct"/>
            <w:tcBorders>
              <w:top w:val="nil"/>
              <w:left w:val="nil"/>
              <w:bottom w:val="single" w:sz="4" w:space="0" w:color="auto"/>
              <w:right w:val="single" w:sz="4" w:space="0" w:color="auto"/>
            </w:tcBorders>
            <w:vAlign w:val="center"/>
          </w:tcPr>
          <w:p w:rsidR="00FF2883" w:rsidRPr="004126C0" w:rsidRDefault="00FF2883" w:rsidP="007671E8">
            <w:pPr>
              <w:bidi w:val="0"/>
              <w:ind w:right="186" w:firstLine="59"/>
              <w:jc w:val="right"/>
              <w:rPr>
                <w:rFonts w:asciiTheme="minorBidi" w:hAnsiTheme="minorBidi" w:cstheme="minorBidi"/>
                <w:sz w:val="18"/>
                <w:szCs w:val="18"/>
              </w:rPr>
            </w:pPr>
            <w:r>
              <w:rPr>
                <w:rFonts w:asciiTheme="minorBidi" w:hAnsiTheme="minorBidi" w:cstheme="minorBidi"/>
                <w:sz w:val="18"/>
                <w:szCs w:val="18"/>
              </w:rPr>
              <w:t>3,264.6</w:t>
            </w:r>
          </w:p>
        </w:tc>
      </w:tr>
      <w:tr w:rsidR="006946AC" w:rsidTr="00FF2883">
        <w:trPr>
          <w:cantSplit/>
          <w:trHeight w:val="340"/>
          <w:jc w:val="center"/>
        </w:trPr>
        <w:tc>
          <w:tcPr>
            <w:tcW w:w="1853" w:type="pct"/>
            <w:tcBorders>
              <w:top w:val="single" w:sz="4" w:space="0" w:color="auto"/>
              <w:bottom w:val="single" w:sz="4" w:space="0" w:color="auto"/>
              <w:right w:val="single" w:sz="4" w:space="0" w:color="auto"/>
            </w:tcBorders>
            <w:vAlign w:val="center"/>
          </w:tcPr>
          <w:p w:rsidR="006946AC" w:rsidRPr="003D623B" w:rsidRDefault="006946AC" w:rsidP="00197BCC">
            <w:pPr>
              <w:bidi w:val="0"/>
              <w:rPr>
                <w:rFonts w:ascii="Arial" w:hAnsi="Arial" w:cs="Arial"/>
                <w:b/>
                <w:bCs/>
                <w:snapToGrid w:val="0"/>
                <w:sz w:val="18"/>
                <w:szCs w:val="18"/>
              </w:rPr>
            </w:pPr>
            <w:r w:rsidRPr="003D623B">
              <w:rPr>
                <w:rFonts w:ascii="Arial" w:hAnsi="Arial" w:cs="Arial"/>
                <w:b/>
                <w:bCs/>
                <w:snapToGrid w:val="0"/>
                <w:sz w:val="18"/>
                <w:szCs w:val="18"/>
              </w:rPr>
              <w:t>Gross Domestic Product</w:t>
            </w:r>
          </w:p>
        </w:tc>
        <w:tc>
          <w:tcPr>
            <w:tcW w:w="787" w:type="pct"/>
            <w:tcBorders>
              <w:top w:val="single" w:sz="4" w:space="0" w:color="auto"/>
              <w:left w:val="single" w:sz="4" w:space="0" w:color="auto"/>
              <w:bottom w:val="single" w:sz="4" w:space="0" w:color="auto"/>
              <w:right w:val="single" w:sz="4" w:space="0" w:color="auto"/>
            </w:tcBorders>
            <w:vAlign w:val="center"/>
          </w:tcPr>
          <w:p w:rsidR="006946AC" w:rsidRPr="000C08A0" w:rsidRDefault="006946AC" w:rsidP="007F12D3">
            <w:pPr>
              <w:bidi w:val="0"/>
              <w:ind w:right="138" w:firstLineChars="100" w:firstLine="181"/>
              <w:jc w:val="right"/>
              <w:rPr>
                <w:rFonts w:ascii="Arial" w:hAnsi="Arial" w:cs="Arial"/>
                <w:b/>
                <w:bCs/>
                <w:color w:val="000000"/>
                <w:sz w:val="18"/>
                <w:szCs w:val="18"/>
              </w:rPr>
            </w:pPr>
            <w:r>
              <w:rPr>
                <w:rFonts w:ascii="Arial" w:hAnsi="Arial" w:cs="Arial"/>
                <w:b/>
                <w:bCs/>
                <w:color w:val="000000"/>
                <w:sz w:val="18"/>
                <w:szCs w:val="18"/>
              </w:rPr>
              <w:t>11,279.4</w:t>
            </w:r>
          </w:p>
        </w:tc>
        <w:tc>
          <w:tcPr>
            <w:tcW w:w="787" w:type="pct"/>
            <w:tcBorders>
              <w:top w:val="single" w:sz="4" w:space="0" w:color="auto"/>
              <w:left w:val="single" w:sz="4" w:space="0" w:color="auto"/>
              <w:bottom w:val="single" w:sz="4" w:space="0" w:color="auto"/>
              <w:right w:val="single" w:sz="4" w:space="0" w:color="auto"/>
            </w:tcBorders>
            <w:vAlign w:val="center"/>
          </w:tcPr>
          <w:p w:rsidR="006946AC" w:rsidRPr="00952FDF" w:rsidRDefault="006946AC" w:rsidP="007F12D3">
            <w:pPr>
              <w:bidi w:val="0"/>
              <w:ind w:right="138" w:firstLine="37"/>
              <w:jc w:val="right"/>
              <w:rPr>
                <w:rFonts w:asciiTheme="minorBidi" w:hAnsiTheme="minorBidi" w:cstheme="minorBidi"/>
                <w:b/>
                <w:bCs/>
                <w:sz w:val="18"/>
                <w:szCs w:val="18"/>
              </w:rPr>
            </w:pPr>
            <w:r w:rsidRPr="00952FDF">
              <w:rPr>
                <w:rFonts w:asciiTheme="minorBidi" w:hAnsiTheme="minorBidi" w:cstheme="minorBidi"/>
                <w:b/>
                <w:bCs/>
                <w:sz w:val="18"/>
                <w:szCs w:val="18"/>
              </w:rPr>
              <w:t>12,476.0</w:t>
            </w:r>
          </w:p>
        </w:tc>
        <w:tc>
          <w:tcPr>
            <w:tcW w:w="786" w:type="pct"/>
            <w:tcBorders>
              <w:top w:val="single" w:sz="4" w:space="0" w:color="auto"/>
              <w:left w:val="nil"/>
              <w:bottom w:val="single" w:sz="4" w:space="0" w:color="auto"/>
              <w:right w:val="single" w:sz="4" w:space="0" w:color="auto"/>
            </w:tcBorders>
            <w:vAlign w:val="center"/>
          </w:tcPr>
          <w:p w:rsidR="006946AC" w:rsidRPr="00E20AFB" w:rsidRDefault="006946AC" w:rsidP="007F12D3">
            <w:pPr>
              <w:bidi w:val="0"/>
              <w:ind w:right="138" w:firstLine="37"/>
              <w:jc w:val="right"/>
              <w:rPr>
                <w:rFonts w:asciiTheme="minorBidi" w:hAnsiTheme="minorBidi" w:cstheme="minorBidi"/>
                <w:b/>
                <w:bCs/>
                <w:sz w:val="18"/>
                <w:szCs w:val="18"/>
              </w:rPr>
            </w:pPr>
            <w:r w:rsidRPr="00E20AFB">
              <w:rPr>
                <w:rFonts w:asciiTheme="minorBidi" w:hAnsiTheme="minorBidi" w:cstheme="minorBidi"/>
                <w:b/>
                <w:bCs/>
                <w:sz w:val="18"/>
                <w:szCs w:val="18"/>
              </w:rPr>
              <w:t>7</w:t>
            </w:r>
            <w:r>
              <w:rPr>
                <w:rFonts w:asciiTheme="minorBidi" w:hAnsiTheme="minorBidi" w:cstheme="minorBidi"/>
                <w:b/>
                <w:bCs/>
                <w:sz w:val="18"/>
                <w:szCs w:val="18"/>
              </w:rPr>
              <w:t>,</w:t>
            </w:r>
            <w:r w:rsidRPr="00E20AFB">
              <w:rPr>
                <w:rFonts w:asciiTheme="minorBidi" w:hAnsiTheme="minorBidi" w:cstheme="minorBidi"/>
                <w:b/>
                <w:bCs/>
                <w:sz w:val="18"/>
                <w:szCs w:val="18"/>
              </w:rPr>
              <w:t>314.8</w:t>
            </w:r>
          </w:p>
        </w:tc>
        <w:tc>
          <w:tcPr>
            <w:tcW w:w="787" w:type="pct"/>
            <w:tcBorders>
              <w:top w:val="single" w:sz="4" w:space="0" w:color="auto"/>
              <w:left w:val="single" w:sz="4" w:space="0" w:color="auto"/>
              <w:bottom w:val="single" w:sz="4" w:space="0" w:color="auto"/>
              <w:right w:val="single" w:sz="4" w:space="0" w:color="auto"/>
            </w:tcBorders>
            <w:vAlign w:val="center"/>
          </w:tcPr>
          <w:p w:rsidR="006946AC" w:rsidRPr="002136DD" w:rsidRDefault="006946AC" w:rsidP="007F12D3">
            <w:pPr>
              <w:bidi w:val="0"/>
              <w:ind w:right="138" w:firstLine="37"/>
              <w:jc w:val="right"/>
              <w:rPr>
                <w:rFonts w:asciiTheme="minorBidi" w:hAnsiTheme="minorBidi" w:cstheme="minorBidi"/>
                <w:b/>
                <w:bCs/>
                <w:sz w:val="18"/>
                <w:szCs w:val="18"/>
              </w:rPr>
            </w:pPr>
            <w:r w:rsidRPr="002136DD">
              <w:rPr>
                <w:rFonts w:asciiTheme="minorBidi" w:hAnsiTheme="minorBidi" w:cstheme="minorBidi"/>
                <w:b/>
                <w:bCs/>
                <w:sz w:val="18"/>
                <w:szCs w:val="18"/>
              </w:rPr>
              <w:t>7</w:t>
            </w:r>
            <w:r>
              <w:rPr>
                <w:rFonts w:asciiTheme="minorBidi" w:hAnsiTheme="minorBidi" w:cstheme="minorBidi"/>
                <w:b/>
                <w:bCs/>
                <w:sz w:val="18"/>
                <w:szCs w:val="18"/>
              </w:rPr>
              <w:t>,</w:t>
            </w:r>
            <w:r w:rsidRPr="002136DD">
              <w:rPr>
                <w:rFonts w:asciiTheme="minorBidi" w:hAnsiTheme="minorBidi" w:cstheme="minorBidi"/>
                <w:b/>
                <w:bCs/>
                <w:sz w:val="18"/>
                <w:szCs w:val="18"/>
              </w:rPr>
              <w:t>477.0</w:t>
            </w:r>
          </w:p>
        </w:tc>
      </w:tr>
    </w:tbl>
    <w:p w:rsidR="0031063E" w:rsidRPr="0031063E" w:rsidRDefault="0031063E" w:rsidP="007F12D3">
      <w:pPr>
        <w:bidi w:val="0"/>
        <w:ind w:left="142"/>
        <w:rPr>
          <w:rFonts w:asciiTheme="majorBidi" w:hAnsiTheme="majorBidi" w:cstheme="majorBidi"/>
          <w:sz w:val="18"/>
          <w:szCs w:val="18"/>
        </w:rPr>
      </w:pPr>
      <w:r w:rsidRPr="0031063E">
        <w:rPr>
          <w:rFonts w:asciiTheme="majorBidi" w:hAnsiTheme="majorBidi" w:cstheme="majorBidi"/>
          <w:sz w:val="18"/>
          <w:szCs w:val="18"/>
        </w:rPr>
        <w:t xml:space="preserve">*The data excludes those parts of Jerusalem </w:t>
      </w:r>
      <w:r w:rsidR="00705139">
        <w:rPr>
          <w:rFonts w:asciiTheme="majorBidi" w:hAnsiTheme="majorBidi" w:cstheme="majorBidi"/>
          <w:sz w:val="18"/>
          <w:szCs w:val="18"/>
        </w:rPr>
        <w:t xml:space="preserve">governorate </w:t>
      </w:r>
      <w:r w:rsidRPr="0031063E">
        <w:rPr>
          <w:rFonts w:asciiTheme="majorBidi" w:hAnsiTheme="majorBidi" w:cstheme="majorBidi"/>
          <w:sz w:val="18"/>
          <w:szCs w:val="18"/>
        </w:rPr>
        <w:t>which were annexed by Israel in 1967.</w:t>
      </w:r>
    </w:p>
    <w:p w:rsidR="0031063E" w:rsidRPr="0031063E" w:rsidRDefault="0031063E" w:rsidP="007F12D3">
      <w:pPr>
        <w:bidi w:val="0"/>
        <w:ind w:left="142"/>
        <w:rPr>
          <w:rFonts w:asciiTheme="majorBidi" w:hAnsiTheme="majorBidi" w:cstheme="majorBidi"/>
          <w:sz w:val="18"/>
          <w:szCs w:val="18"/>
          <w:lang w:val="fr-FR"/>
        </w:rPr>
      </w:pPr>
      <w:r w:rsidRPr="0031063E">
        <w:rPr>
          <w:rFonts w:asciiTheme="majorBidi" w:hAnsiTheme="majorBidi" w:cstheme="majorBidi"/>
          <w:b/>
          <w:bCs/>
          <w:sz w:val="18"/>
          <w:szCs w:val="18"/>
        </w:rPr>
        <w:t>Note:</w:t>
      </w:r>
      <w:r w:rsidRPr="0031063E">
        <w:rPr>
          <w:rFonts w:asciiTheme="majorBidi" w:hAnsiTheme="majorBidi" w:cstheme="majorBidi"/>
          <w:sz w:val="18"/>
          <w:szCs w:val="18"/>
        </w:rPr>
        <w:t xml:space="preserve"> </w:t>
      </w:r>
      <w:r w:rsidR="00693A3F">
        <w:rPr>
          <w:rFonts w:asciiTheme="majorBidi" w:hAnsiTheme="majorBidi" w:cstheme="majorBidi"/>
          <w:sz w:val="18"/>
          <w:szCs w:val="18"/>
        </w:rPr>
        <w:t>Data i</w:t>
      </w:r>
      <w:r w:rsidRPr="0031063E">
        <w:rPr>
          <w:rFonts w:asciiTheme="majorBidi" w:hAnsiTheme="majorBidi" w:cstheme="majorBidi"/>
          <w:sz w:val="18"/>
          <w:szCs w:val="18"/>
        </w:rPr>
        <w:t>nclude</w:t>
      </w:r>
      <w:r w:rsidR="005E0F13">
        <w:rPr>
          <w:rFonts w:asciiTheme="majorBidi" w:hAnsiTheme="majorBidi" w:cstheme="majorBidi"/>
          <w:sz w:val="18"/>
          <w:szCs w:val="18"/>
        </w:rPr>
        <w:t>s</w:t>
      </w:r>
      <w:r w:rsidRPr="0031063E">
        <w:rPr>
          <w:rFonts w:asciiTheme="majorBidi" w:hAnsiTheme="majorBidi" w:cstheme="majorBidi"/>
          <w:sz w:val="18"/>
          <w:szCs w:val="18"/>
        </w:rPr>
        <w:t xml:space="preserve"> adjustment items</w:t>
      </w:r>
      <w:r w:rsidR="00705139">
        <w:rPr>
          <w:rFonts w:asciiTheme="majorBidi" w:hAnsiTheme="majorBidi" w:cstheme="majorBidi"/>
          <w:sz w:val="18"/>
          <w:szCs w:val="18"/>
        </w:rPr>
        <w:t>.</w:t>
      </w:r>
    </w:p>
    <w:p w:rsidR="00E337DA" w:rsidRDefault="00E337DA">
      <w:pPr>
        <w:bidi w:val="0"/>
      </w:pPr>
      <w:r>
        <w:br w:type="page"/>
      </w:r>
    </w:p>
    <w:p w:rsidR="009B22B0" w:rsidRPr="00AA7F05" w:rsidRDefault="009B22B0" w:rsidP="0065169E">
      <w:pPr>
        <w:bidi w:val="0"/>
        <w:jc w:val="center"/>
        <w:rPr>
          <w:rtl/>
          <w:lang w:val="en-GB"/>
        </w:rPr>
      </w:pPr>
      <w:r w:rsidRPr="00AA7F05">
        <w:lastRenderedPageBreak/>
        <w:t>Chapter T</w:t>
      </w:r>
      <w:r w:rsidR="00DD6826" w:rsidRPr="00AA7F05">
        <w:t>wo</w:t>
      </w:r>
    </w:p>
    <w:p w:rsidR="009B22B0" w:rsidRPr="003057FF" w:rsidRDefault="009B22B0" w:rsidP="00461B79">
      <w:pPr>
        <w:bidi w:val="0"/>
        <w:jc w:val="center"/>
        <w:rPr>
          <w:szCs w:val="28"/>
        </w:rPr>
      </w:pPr>
    </w:p>
    <w:p w:rsidR="00461B79" w:rsidRPr="00AA7F05" w:rsidRDefault="00461B79" w:rsidP="00CE0F34">
      <w:pPr>
        <w:pStyle w:val="Heading2"/>
      </w:pPr>
      <w:r w:rsidRPr="00AA7F05">
        <w:t>Methodology and Data Quality</w:t>
      </w:r>
    </w:p>
    <w:p w:rsidR="00461B79" w:rsidRPr="003057FF" w:rsidRDefault="00461B79" w:rsidP="00461B79">
      <w:pPr>
        <w:pStyle w:val="Header"/>
        <w:tabs>
          <w:tab w:val="clear" w:pos="4153"/>
          <w:tab w:val="clear" w:pos="8306"/>
        </w:tabs>
        <w:bidi w:val="0"/>
        <w:rPr>
          <w:rFonts w:cs="Times New Roman"/>
          <w:noProof w:val="0"/>
          <w:sz w:val="24"/>
          <w:szCs w:val="24"/>
          <w:lang w:eastAsia="ar-SA"/>
        </w:rPr>
      </w:pPr>
    </w:p>
    <w:p w:rsidR="00461B79" w:rsidRPr="00AA7F05" w:rsidRDefault="00461B79" w:rsidP="003D0AA6">
      <w:pPr>
        <w:bidi w:val="0"/>
        <w:jc w:val="lowKashida"/>
        <w:rPr>
          <w:lang w:eastAsia="en-US"/>
        </w:rPr>
      </w:pPr>
      <w:r w:rsidRPr="00AA7F05">
        <w:rPr>
          <w:lang w:eastAsia="en-US"/>
        </w:rPr>
        <w:t xml:space="preserve">This </w:t>
      </w:r>
      <w:r w:rsidR="005F124C" w:rsidRPr="00AA7F05">
        <w:rPr>
          <w:lang w:eastAsia="en-US"/>
        </w:rPr>
        <w:t>c</w:t>
      </w:r>
      <w:r w:rsidRPr="00AA7F05">
        <w:rPr>
          <w:lang w:eastAsia="en-US"/>
        </w:rPr>
        <w:t>hapter present</w:t>
      </w:r>
      <w:r w:rsidR="00811D78" w:rsidRPr="00AA7F05">
        <w:rPr>
          <w:lang w:eastAsia="en-US"/>
        </w:rPr>
        <w:t>s</w:t>
      </w:r>
      <w:r w:rsidRPr="00AA7F05">
        <w:rPr>
          <w:lang w:eastAsia="en-US"/>
        </w:rPr>
        <w:t xml:space="preserve"> </w:t>
      </w:r>
      <w:r w:rsidR="005F124C" w:rsidRPr="00AA7F05">
        <w:rPr>
          <w:lang w:eastAsia="en-US"/>
        </w:rPr>
        <w:t xml:space="preserve">the </w:t>
      </w:r>
      <w:r w:rsidRPr="00AA7F05">
        <w:rPr>
          <w:lang w:eastAsia="en-US"/>
        </w:rPr>
        <w:t xml:space="preserve">methodologies </w:t>
      </w:r>
      <w:r w:rsidR="005F124C" w:rsidRPr="00AA7F05">
        <w:rPr>
          <w:lang w:eastAsia="en-US"/>
        </w:rPr>
        <w:t xml:space="preserve">adopted </w:t>
      </w:r>
      <w:r w:rsidRPr="00AA7F05">
        <w:rPr>
          <w:lang w:eastAsia="en-US"/>
        </w:rPr>
        <w:t>for compil</w:t>
      </w:r>
      <w:r w:rsidR="00811D78" w:rsidRPr="00AA7F05">
        <w:rPr>
          <w:lang w:eastAsia="en-US"/>
        </w:rPr>
        <w:t xml:space="preserve">ing </w:t>
      </w:r>
      <w:r w:rsidR="00F51A5B" w:rsidRPr="00AA7F05">
        <w:rPr>
          <w:lang w:eastAsia="en-US"/>
        </w:rPr>
        <w:t>N</w:t>
      </w:r>
      <w:r w:rsidRPr="00AA7F05">
        <w:rPr>
          <w:lang w:eastAsia="en-US"/>
        </w:rPr>
        <w:t xml:space="preserve">ational </w:t>
      </w:r>
      <w:r w:rsidR="00F51A5B" w:rsidRPr="00AA7F05">
        <w:rPr>
          <w:lang w:eastAsia="en-US"/>
        </w:rPr>
        <w:t>A</w:t>
      </w:r>
      <w:r w:rsidRPr="00AA7F05">
        <w:rPr>
          <w:lang w:eastAsia="en-US"/>
        </w:rPr>
        <w:t xml:space="preserve">ccounts at current and constant </w:t>
      </w:r>
      <w:r w:rsidR="005801E6" w:rsidRPr="00AA7F05">
        <w:rPr>
          <w:lang w:eastAsia="en-US"/>
        </w:rPr>
        <w:t xml:space="preserve">prices </w:t>
      </w:r>
      <w:r w:rsidR="006E29AC" w:rsidRPr="00AA7F05">
        <w:rPr>
          <w:lang w:eastAsia="en-US"/>
        </w:rPr>
        <w:t xml:space="preserve">for </w:t>
      </w:r>
      <w:r w:rsidR="00776E26" w:rsidRPr="00AA7F05">
        <w:rPr>
          <w:lang w:eastAsia="en-US"/>
        </w:rPr>
        <w:t>2013</w:t>
      </w:r>
      <w:r w:rsidR="005801E6" w:rsidRPr="00AA7F05">
        <w:rPr>
          <w:lang w:eastAsia="en-US"/>
        </w:rPr>
        <w:t xml:space="preserve">.  </w:t>
      </w:r>
      <w:r w:rsidR="006E29AC" w:rsidRPr="00AA7F05">
        <w:rPr>
          <w:lang w:eastAsia="en-US"/>
        </w:rPr>
        <w:t>T</w:t>
      </w:r>
      <w:r w:rsidR="005801E6" w:rsidRPr="00AA7F05">
        <w:rPr>
          <w:lang w:eastAsia="en-US"/>
        </w:rPr>
        <w:t xml:space="preserve">he methodology </w:t>
      </w:r>
      <w:r w:rsidR="006E29AC" w:rsidRPr="00AA7F05">
        <w:rPr>
          <w:lang w:eastAsia="en-US"/>
        </w:rPr>
        <w:t>was b</w:t>
      </w:r>
      <w:r w:rsidRPr="00AA7F05">
        <w:rPr>
          <w:lang w:eastAsia="en-US"/>
        </w:rPr>
        <w:t>ased on</w:t>
      </w:r>
      <w:r w:rsidR="005C6040" w:rsidRPr="00AA7F05">
        <w:rPr>
          <w:lang w:eastAsia="en-US"/>
        </w:rPr>
        <w:t xml:space="preserve"> the </w:t>
      </w:r>
      <w:r w:rsidR="005801E6" w:rsidRPr="00AA7F05">
        <w:rPr>
          <w:lang w:eastAsia="en-US"/>
        </w:rPr>
        <w:t>available</w:t>
      </w:r>
      <w:r w:rsidRPr="00AA7F05">
        <w:rPr>
          <w:lang w:eastAsia="en-US"/>
        </w:rPr>
        <w:t xml:space="preserve"> price deflators</w:t>
      </w:r>
      <w:r w:rsidR="005F124C" w:rsidRPr="00AA7F05">
        <w:rPr>
          <w:lang w:eastAsia="en-US"/>
        </w:rPr>
        <w:t>,</w:t>
      </w:r>
      <w:r w:rsidRPr="00AA7F05">
        <w:rPr>
          <w:lang w:eastAsia="en-US"/>
        </w:rPr>
        <w:t xml:space="preserve"> </w:t>
      </w:r>
      <w:r w:rsidR="005F124C" w:rsidRPr="00AA7F05">
        <w:rPr>
          <w:lang w:eastAsia="en-US"/>
        </w:rPr>
        <w:t>the</w:t>
      </w:r>
      <w:r w:rsidRPr="00AA7F05">
        <w:rPr>
          <w:lang w:eastAsia="en-US"/>
        </w:rPr>
        <w:t xml:space="preserve"> methodolog</w:t>
      </w:r>
      <w:r w:rsidR="005F124C" w:rsidRPr="00AA7F05">
        <w:rPr>
          <w:lang w:eastAsia="en-US"/>
        </w:rPr>
        <w:t>y</w:t>
      </w:r>
      <w:r w:rsidRPr="00AA7F05">
        <w:rPr>
          <w:lang w:eastAsia="en-US"/>
        </w:rPr>
        <w:t xml:space="preserve"> for compiling </w:t>
      </w:r>
      <w:r w:rsidR="005F124C" w:rsidRPr="00AA7F05">
        <w:rPr>
          <w:lang w:eastAsia="en-US"/>
        </w:rPr>
        <w:t>i</w:t>
      </w:r>
      <w:r w:rsidRPr="00AA7F05">
        <w:rPr>
          <w:lang w:eastAsia="en-US"/>
        </w:rPr>
        <w:t xml:space="preserve">nstitutional </w:t>
      </w:r>
      <w:r w:rsidR="005F124C" w:rsidRPr="00AA7F05">
        <w:rPr>
          <w:lang w:eastAsia="en-US"/>
        </w:rPr>
        <w:t>n</w:t>
      </w:r>
      <w:r w:rsidRPr="00AA7F05">
        <w:rPr>
          <w:lang w:eastAsia="en-US"/>
        </w:rPr>
        <w:t xml:space="preserve">ational </w:t>
      </w:r>
      <w:r w:rsidR="005F124C" w:rsidRPr="00AA7F05">
        <w:rPr>
          <w:lang w:eastAsia="en-US"/>
        </w:rPr>
        <w:t>a</w:t>
      </w:r>
      <w:r w:rsidRPr="00AA7F05">
        <w:rPr>
          <w:lang w:eastAsia="en-US"/>
        </w:rPr>
        <w:t xml:space="preserve">ccounts at </w:t>
      </w:r>
      <w:r w:rsidR="00CE2506" w:rsidRPr="00AA7F05">
        <w:rPr>
          <w:lang w:eastAsia="en-US"/>
        </w:rPr>
        <w:t xml:space="preserve">current </w:t>
      </w:r>
      <w:r w:rsidR="005C6040" w:rsidRPr="00AA7F05">
        <w:rPr>
          <w:lang w:eastAsia="en-US"/>
        </w:rPr>
        <w:t xml:space="preserve">and constant </w:t>
      </w:r>
      <w:r w:rsidRPr="00AA7F05">
        <w:rPr>
          <w:lang w:eastAsia="en-US"/>
        </w:rPr>
        <w:t>prices</w:t>
      </w:r>
      <w:r w:rsidR="006E29AC" w:rsidRPr="00AA7F05">
        <w:rPr>
          <w:lang w:eastAsia="en-US"/>
        </w:rPr>
        <w:t>, and</w:t>
      </w:r>
      <w:r w:rsidR="00776E26" w:rsidRPr="00AA7F05">
        <w:rPr>
          <w:lang w:eastAsia="en-US"/>
        </w:rPr>
        <w:t xml:space="preserve"> </w:t>
      </w:r>
      <w:r w:rsidR="005801E6" w:rsidRPr="00AA7F05">
        <w:rPr>
          <w:lang w:eastAsia="en-US"/>
        </w:rPr>
        <w:t xml:space="preserve">data coverage </w:t>
      </w:r>
      <w:r w:rsidR="006E29AC" w:rsidRPr="00AA7F05">
        <w:rPr>
          <w:lang w:eastAsia="en-US"/>
        </w:rPr>
        <w:t>o</w:t>
      </w:r>
      <w:r w:rsidR="005801E6" w:rsidRPr="00AA7F05">
        <w:rPr>
          <w:lang w:eastAsia="en-US"/>
        </w:rPr>
        <w:t>f various resources</w:t>
      </w:r>
      <w:r w:rsidRPr="00AA7F05">
        <w:rPr>
          <w:lang w:eastAsia="en-US"/>
        </w:rPr>
        <w:t>.</w:t>
      </w:r>
    </w:p>
    <w:p w:rsidR="00650DD6" w:rsidRPr="003057FF" w:rsidRDefault="00650DD6" w:rsidP="00650DD6">
      <w:pPr>
        <w:bidi w:val="0"/>
        <w:rPr>
          <w:b/>
          <w:bCs/>
        </w:rPr>
      </w:pPr>
    </w:p>
    <w:p w:rsidR="00461B79" w:rsidRPr="00AA7F05" w:rsidRDefault="00650DD6" w:rsidP="00CE2506">
      <w:pPr>
        <w:bidi w:val="0"/>
        <w:rPr>
          <w:b/>
          <w:bCs/>
        </w:rPr>
      </w:pPr>
      <w:r w:rsidRPr="00AA7F05">
        <w:rPr>
          <w:b/>
          <w:bCs/>
        </w:rPr>
        <w:t xml:space="preserve">2.1 </w:t>
      </w:r>
      <w:r w:rsidR="00461B79" w:rsidRPr="00AA7F05">
        <w:rPr>
          <w:b/>
          <w:bCs/>
        </w:rPr>
        <w:t>Basic National Accounts</w:t>
      </w:r>
      <w:r w:rsidR="00D325B9" w:rsidRPr="00AA7F05">
        <w:rPr>
          <w:b/>
          <w:bCs/>
        </w:rPr>
        <w:t xml:space="preserve"> Methodology</w:t>
      </w:r>
    </w:p>
    <w:p w:rsidR="00461B79" w:rsidRPr="003057FF" w:rsidRDefault="00461B79" w:rsidP="00461B79">
      <w:pPr>
        <w:bidi w:val="0"/>
        <w:rPr>
          <w:sz w:val="18"/>
          <w:szCs w:val="18"/>
          <w:lang w:eastAsia="en-US"/>
        </w:rPr>
      </w:pPr>
    </w:p>
    <w:p w:rsidR="00461B79" w:rsidRPr="00AA7F05" w:rsidRDefault="0097260F" w:rsidP="00CE2506">
      <w:pPr>
        <w:bidi w:val="0"/>
        <w:jc w:val="lowKashida"/>
        <w:rPr>
          <w:b/>
          <w:bCs/>
          <w:lang w:val="en-GB"/>
        </w:rPr>
      </w:pPr>
      <w:r w:rsidRPr="00AA7F05">
        <w:rPr>
          <w:b/>
          <w:bCs/>
          <w:lang w:val="en-GB"/>
        </w:rPr>
        <w:t>2</w:t>
      </w:r>
      <w:r w:rsidR="00461B79" w:rsidRPr="00AA7F05">
        <w:rPr>
          <w:b/>
          <w:bCs/>
          <w:lang w:val="en-GB"/>
        </w:rPr>
        <w:t>.1</w:t>
      </w:r>
      <w:r w:rsidR="00650DD6" w:rsidRPr="00AA7F05">
        <w:rPr>
          <w:b/>
          <w:bCs/>
          <w:lang w:val="en-GB"/>
        </w:rPr>
        <w:t>.1</w:t>
      </w:r>
      <w:r w:rsidR="00461B79" w:rsidRPr="00AA7F05">
        <w:rPr>
          <w:b/>
          <w:bCs/>
          <w:lang w:val="en-GB"/>
        </w:rPr>
        <w:t xml:space="preserve"> National </w:t>
      </w:r>
      <w:r w:rsidR="00461B79" w:rsidRPr="00AA7F05">
        <w:rPr>
          <w:b/>
          <w:bCs/>
        </w:rPr>
        <w:t>Accounts</w:t>
      </w:r>
      <w:r w:rsidR="00461B79" w:rsidRPr="00AA7F05">
        <w:rPr>
          <w:b/>
          <w:bCs/>
          <w:lang w:val="en-GB"/>
        </w:rPr>
        <w:t xml:space="preserve"> at Current Prices</w:t>
      </w:r>
    </w:p>
    <w:p w:rsidR="00461B79" w:rsidRPr="00AA7F05" w:rsidRDefault="00461B79" w:rsidP="00461B79">
      <w:pPr>
        <w:bidi w:val="0"/>
        <w:rPr>
          <w:sz w:val="16"/>
          <w:szCs w:val="16"/>
          <w:lang w:eastAsia="en-US"/>
        </w:rPr>
      </w:pPr>
    </w:p>
    <w:p w:rsidR="00461B79" w:rsidRPr="00AA7F05" w:rsidRDefault="00EC6C88" w:rsidP="00957164">
      <w:pPr>
        <w:bidi w:val="0"/>
        <w:rPr>
          <w:b/>
          <w:bCs/>
        </w:rPr>
      </w:pPr>
      <w:r w:rsidRPr="00AA7F05">
        <w:rPr>
          <w:b/>
          <w:bCs/>
        </w:rPr>
        <w:t xml:space="preserve">First: </w:t>
      </w:r>
      <w:r w:rsidR="00461B79" w:rsidRPr="00AA7F05">
        <w:rPr>
          <w:b/>
          <w:bCs/>
        </w:rPr>
        <w:t xml:space="preserve">The main basis for </w:t>
      </w:r>
      <w:r w:rsidR="005F124C" w:rsidRPr="00AA7F05">
        <w:rPr>
          <w:b/>
          <w:bCs/>
        </w:rPr>
        <w:t xml:space="preserve">the </w:t>
      </w:r>
      <w:r w:rsidR="005C6040" w:rsidRPr="00AA7F05">
        <w:rPr>
          <w:b/>
          <w:bCs/>
        </w:rPr>
        <w:t>compilation</w:t>
      </w:r>
      <w:r w:rsidR="00461B79" w:rsidRPr="00AA7F05">
        <w:rPr>
          <w:b/>
          <w:bCs/>
        </w:rPr>
        <w:t xml:space="preserve"> process</w:t>
      </w:r>
      <w:r w:rsidR="00957164">
        <w:rPr>
          <w:b/>
          <w:bCs/>
        </w:rPr>
        <w:t xml:space="preserve"> </w:t>
      </w:r>
    </w:p>
    <w:p w:rsidR="00461B79" w:rsidRPr="00AA7F05" w:rsidRDefault="00461B79" w:rsidP="00E90429">
      <w:pPr>
        <w:bidi w:val="0"/>
        <w:jc w:val="lowKashida"/>
      </w:pPr>
      <w:r w:rsidRPr="00AA7F05">
        <w:t>The prepar</w:t>
      </w:r>
      <w:r w:rsidR="00CF629E" w:rsidRPr="00AA7F05">
        <w:t>ation of</w:t>
      </w:r>
      <w:r w:rsidRPr="00AA7F05">
        <w:t xml:space="preserve"> this report </w:t>
      </w:r>
      <w:r w:rsidR="00291493" w:rsidRPr="00AA7F05">
        <w:t>covered</w:t>
      </w:r>
      <w:r w:rsidRPr="00AA7F05">
        <w:t xml:space="preserve"> </w:t>
      </w:r>
      <w:r w:rsidR="00CF629E" w:rsidRPr="00AA7F05">
        <w:t>several stages</w:t>
      </w:r>
      <w:r w:rsidRPr="00AA7F05">
        <w:t xml:space="preserve"> </w:t>
      </w:r>
      <w:r w:rsidR="00CF629E" w:rsidRPr="00AA7F05">
        <w:t>that</w:t>
      </w:r>
      <w:r w:rsidRPr="00AA7F05">
        <w:t xml:space="preserve"> were </w:t>
      </w:r>
      <w:r w:rsidR="00CF629E" w:rsidRPr="00AA7F05">
        <w:t>essential</w:t>
      </w:r>
      <w:r w:rsidR="00BF7FD3" w:rsidRPr="00AA7F05">
        <w:t xml:space="preserve"> for thorough </w:t>
      </w:r>
      <w:r w:rsidRPr="00AA7F05">
        <w:t xml:space="preserve">coverage </w:t>
      </w:r>
      <w:r w:rsidR="00291493" w:rsidRPr="00AA7F05">
        <w:t>o</w:t>
      </w:r>
      <w:r w:rsidRPr="00AA7F05">
        <w:t xml:space="preserve">f </w:t>
      </w:r>
      <w:r w:rsidR="00F51A5B" w:rsidRPr="00AA7F05">
        <w:t>N</w:t>
      </w:r>
      <w:r w:rsidRPr="00AA7F05">
        <w:t xml:space="preserve">ational </w:t>
      </w:r>
      <w:r w:rsidR="00F51A5B" w:rsidRPr="00AA7F05">
        <w:t>A</w:t>
      </w:r>
      <w:r w:rsidRPr="00AA7F05">
        <w:t xml:space="preserve">ccounts for the </w:t>
      </w:r>
      <w:r w:rsidR="00E90429" w:rsidRPr="00AA7F05">
        <w:t>year 2013</w:t>
      </w:r>
      <w:r w:rsidR="00CE2506" w:rsidRPr="00AA7F05">
        <w:t xml:space="preserve"> </w:t>
      </w:r>
      <w:r w:rsidR="002C68BE" w:rsidRPr="00AA7F05">
        <w:t xml:space="preserve">and were </w:t>
      </w:r>
      <w:r w:rsidRPr="00AA7F05">
        <w:t>based on the following considerations:</w:t>
      </w:r>
    </w:p>
    <w:p w:rsidR="00DA2BAE" w:rsidRPr="00AA7F05" w:rsidRDefault="002C68BE" w:rsidP="00DA2BAE">
      <w:pPr>
        <w:numPr>
          <w:ilvl w:val="0"/>
          <w:numId w:val="6"/>
        </w:numPr>
        <w:tabs>
          <w:tab w:val="clear" w:pos="720"/>
          <w:tab w:val="num" w:pos="540"/>
        </w:tabs>
        <w:bidi w:val="0"/>
        <w:ind w:left="540" w:right="0"/>
        <w:jc w:val="lowKashida"/>
      </w:pPr>
      <w:r w:rsidRPr="00AA7F05">
        <w:t>T</w:t>
      </w:r>
      <w:r w:rsidR="00DA2BAE" w:rsidRPr="00AA7F05">
        <w:t xml:space="preserve">he </w:t>
      </w:r>
      <w:r w:rsidRPr="00AA7F05">
        <w:t>most recent</w:t>
      </w:r>
      <w:r w:rsidR="00DA2BAE" w:rsidRPr="00AA7F05">
        <w:t xml:space="preserve"> administrative records available, primarily from the government and UNRWA.</w:t>
      </w:r>
    </w:p>
    <w:p w:rsidR="00461B79" w:rsidRPr="00AA7F05" w:rsidRDefault="00461B79" w:rsidP="00AC782D">
      <w:pPr>
        <w:numPr>
          <w:ilvl w:val="0"/>
          <w:numId w:val="6"/>
        </w:numPr>
        <w:tabs>
          <w:tab w:val="clear" w:pos="720"/>
          <w:tab w:val="num" w:pos="540"/>
        </w:tabs>
        <w:bidi w:val="0"/>
        <w:ind w:left="540" w:right="0"/>
        <w:jc w:val="lowKashida"/>
      </w:pPr>
      <w:r w:rsidRPr="00AA7F05">
        <w:t xml:space="preserve">Unifying </w:t>
      </w:r>
      <w:r w:rsidR="005E09F6" w:rsidRPr="00AA7F05">
        <w:t xml:space="preserve">the </w:t>
      </w:r>
      <w:r w:rsidRPr="00AA7F05">
        <w:t xml:space="preserve">methodologies </w:t>
      </w:r>
      <w:r w:rsidR="005E09F6" w:rsidRPr="00AA7F05">
        <w:t>of th</w:t>
      </w:r>
      <w:r w:rsidRPr="00AA7F05">
        <w:t xml:space="preserve">e various data sources based on the </w:t>
      </w:r>
      <w:r w:rsidR="005E09F6" w:rsidRPr="00AA7F05">
        <w:t>most recent</w:t>
      </w:r>
      <w:r w:rsidRPr="00AA7F05">
        <w:t>, such as the methodolog</w:t>
      </w:r>
      <w:r w:rsidR="005E09F6" w:rsidRPr="00AA7F05">
        <w:t>y</w:t>
      </w:r>
      <w:r w:rsidRPr="00AA7F05">
        <w:t xml:space="preserve"> for estimating gross capital formation</w:t>
      </w:r>
      <w:r w:rsidR="00AC782D" w:rsidRPr="00AA7F05">
        <w:t xml:space="preserve"> (building and non-buildings) </w:t>
      </w:r>
      <w:r w:rsidR="002E04B7" w:rsidRPr="00AA7F05">
        <w:t xml:space="preserve">and </w:t>
      </w:r>
      <w:r w:rsidR="00AC782D" w:rsidRPr="00AA7F05">
        <w:t>adapt</w:t>
      </w:r>
      <w:r w:rsidR="002E04B7" w:rsidRPr="00AA7F05">
        <w:t>ing</w:t>
      </w:r>
      <w:r w:rsidR="00AC782D" w:rsidRPr="00AA7F05">
        <w:t xml:space="preserve"> the ISIC</w:t>
      </w:r>
      <w:r w:rsidR="003B67C8" w:rsidRPr="00AA7F05">
        <w:t>-</w:t>
      </w:r>
      <w:r w:rsidR="00AC782D" w:rsidRPr="00AA7F05">
        <w:t>4 for all national accounts data since 1994</w:t>
      </w:r>
      <w:r w:rsidRPr="00AA7F05">
        <w:t xml:space="preserve">. The use of </w:t>
      </w:r>
      <w:r w:rsidR="005E09F6" w:rsidRPr="00AA7F05">
        <w:t xml:space="preserve">the </w:t>
      </w:r>
      <w:r w:rsidR="00AA6738" w:rsidRPr="00AA7F05">
        <w:t>most up to date</w:t>
      </w:r>
      <w:r w:rsidRPr="00AA7F05">
        <w:t xml:space="preserve"> methodolog</w:t>
      </w:r>
      <w:r w:rsidR="005E09F6" w:rsidRPr="00AA7F05">
        <w:t>y</w:t>
      </w:r>
      <w:r w:rsidRPr="00AA7F05">
        <w:t xml:space="preserve"> contributes to improv</w:t>
      </w:r>
      <w:r w:rsidR="003B186D" w:rsidRPr="00AA7F05">
        <w:t xml:space="preserve">ing </w:t>
      </w:r>
      <w:r w:rsidRPr="00AA7F05">
        <w:t>data quality</w:t>
      </w:r>
      <w:r w:rsidR="00EA7CBB" w:rsidRPr="00AA7F05">
        <w:t xml:space="preserve"> and comparability over years</w:t>
      </w:r>
      <w:r w:rsidRPr="00AA7F05">
        <w:t>.</w:t>
      </w:r>
    </w:p>
    <w:p w:rsidR="00461B79" w:rsidRPr="00AA7F05" w:rsidRDefault="00461B79" w:rsidP="00461B79">
      <w:pPr>
        <w:numPr>
          <w:ilvl w:val="0"/>
          <w:numId w:val="6"/>
        </w:numPr>
        <w:tabs>
          <w:tab w:val="clear" w:pos="720"/>
          <w:tab w:val="num" w:pos="540"/>
        </w:tabs>
        <w:bidi w:val="0"/>
        <w:ind w:left="540" w:right="0"/>
        <w:jc w:val="lowKashida"/>
      </w:pPr>
      <w:r w:rsidRPr="00AA7F05">
        <w:t xml:space="preserve">Improving </w:t>
      </w:r>
      <w:r w:rsidR="000E5E99" w:rsidRPr="00AA7F05">
        <w:t xml:space="preserve">the </w:t>
      </w:r>
      <w:r w:rsidRPr="00AA7F05">
        <w:t xml:space="preserve">consistency of data by checking the </w:t>
      </w:r>
      <w:r w:rsidR="000E5E99" w:rsidRPr="00AA7F05">
        <w:t xml:space="preserve">data </w:t>
      </w:r>
      <w:r w:rsidRPr="00AA7F05">
        <w:t xml:space="preserve">framework, such as </w:t>
      </w:r>
      <w:r w:rsidR="008617E8" w:rsidRPr="00AA7F05">
        <w:t>the</w:t>
      </w:r>
      <w:r w:rsidR="00234071" w:rsidRPr="00AA7F05">
        <w:t xml:space="preserve"> proportion</w:t>
      </w:r>
      <w:r w:rsidRPr="00AA7F05">
        <w:t xml:space="preserve"> of inputs to outputs, value added per employee, the logic of growth rates for</w:t>
      </w:r>
      <w:r w:rsidR="003B186D" w:rsidRPr="00AA7F05">
        <w:t xml:space="preserve"> both </w:t>
      </w:r>
      <w:r w:rsidRPr="00AA7F05">
        <w:t>the output and value added, a</w:t>
      </w:r>
      <w:r w:rsidR="00AA6738" w:rsidRPr="00AA7F05">
        <w:t>n</w:t>
      </w:r>
      <w:r w:rsidRPr="00AA7F05">
        <w:t xml:space="preserve">d </w:t>
      </w:r>
      <w:r w:rsidR="000E5E99" w:rsidRPr="00AA7F05">
        <w:t xml:space="preserve">the </w:t>
      </w:r>
      <w:r w:rsidRPr="00AA7F05">
        <w:t xml:space="preserve">regional distribution </w:t>
      </w:r>
      <w:r w:rsidR="003B186D" w:rsidRPr="00AA7F05">
        <w:t xml:space="preserve">of </w:t>
      </w:r>
      <w:r w:rsidRPr="00AA7F05">
        <w:t>data.</w:t>
      </w:r>
    </w:p>
    <w:p w:rsidR="00461B79" w:rsidRPr="00AA7F05" w:rsidRDefault="00461B79" w:rsidP="00461B79">
      <w:pPr>
        <w:numPr>
          <w:ilvl w:val="0"/>
          <w:numId w:val="6"/>
        </w:numPr>
        <w:tabs>
          <w:tab w:val="clear" w:pos="720"/>
          <w:tab w:val="num" w:pos="540"/>
        </w:tabs>
        <w:bidi w:val="0"/>
        <w:ind w:left="540" w:right="0"/>
        <w:jc w:val="lowKashida"/>
      </w:pPr>
      <w:r w:rsidRPr="00AA7F05">
        <w:t>Balancing GDP from both production and expenditure</w:t>
      </w:r>
      <w:r w:rsidR="00B72477" w:rsidRPr="00AA7F05">
        <w:t xml:space="preserve"> </w:t>
      </w:r>
      <w:r w:rsidRPr="00AA7F05">
        <w:t>at current prices</w:t>
      </w:r>
      <w:r w:rsidR="00C84F53" w:rsidRPr="00AA7F05">
        <w:t>.</w:t>
      </w:r>
      <w:r w:rsidR="00AC782D" w:rsidRPr="00AA7F05">
        <w:t xml:space="preserve"> </w:t>
      </w:r>
      <w:r w:rsidR="00C84F53" w:rsidRPr="00AA7F05">
        <w:t>This determines</w:t>
      </w:r>
      <w:r w:rsidR="00EA7CBB" w:rsidRPr="00AA7F05">
        <w:t xml:space="preserve"> errors and omissions </w:t>
      </w:r>
      <w:r w:rsidR="00AC782D" w:rsidRPr="00AA7F05">
        <w:t>to verify distortion between production and expenditure due to the use of different sources for both</w:t>
      </w:r>
      <w:r w:rsidRPr="00AA7F05">
        <w:t>.</w:t>
      </w:r>
    </w:p>
    <w:p w:rsidR="00F26B7B" w:rsidRPr="00AA7F05" w:rsidRDefault="00F26B7B" w:rsidP="00F26B7B">
      <w:pPr>
        <w:numPr>
          <w:ilvl w:val="0"/>
          <w:numId w:val="6"/>
        </w:numPr>
        <w:tabs>
          <w:tab w:val="clear" w:pos="720"/>
          <w:tab w:val="num" w:pos="540"/>
        </w:tabs>
        <w:bidi w:val="0"/>
        <w:ind w:left="540" w:right="0"/>
        <w:jc w:val="lowKashida"/>
      </w:pPr>
      <w:r w:rsidRPr="00AA7F05">
        <w:t>Unifying data coverage for various economic activities to minimize o</w:t>
      </w:r>
      <w:r w:rsidR="00EA7CBB" w:rsidRPr="00AA7F05">
        <w:t>ver</w:t>
      </w:r>
      <w:r w:rsidR="00C84F53" w:rsidRPr="00AA7F05">
        <w:t>-</w:t>
      </w:r>
      <w:r w:rsidRPr="00AA7F05">
        <w:t>coverage due to the improvement of statistical coverage over time.</w:t>
      </w:r>
    </w:p>
    <w:p w:rsidR="00197BCC" w:rsidRPr="003057FF" w:rsidRDefault="00197BCC" w:rsidP="009B0B82">
      <w:pPr>
        <w:jc w:val="both"/>
        <w:rPr>
          <w:rtl/>
        </w:rPr>
      </w:pPr>
    </w:p>
    <w:p w:rsidR="00197BCC" w:rsidRPr="00AA7F05" w:rsidRDefault="00197BCC" w:rsidP="003057FF">
      <w:pPr>
        <w:bidi w:val="0"/>
        <w:ind w:right="720"/>
        <w:rPr>
          <w:b/>
          <w:bCs/>
        </w:rPr>
      </w:pPr>
      <w:r w:rsidRPr="00AA7F05">
        <w:rPr>
          <w:b/>
          <w:bCs/>
        </w:rPr>
        <w:t xml:space="preserve">Second: </w:t>
      </w:r>
      <w:r w:rsidR="00B72477" w:rsidRPr="00AA7F05">
        <w:rPr>
          <w:b/>
          <w:bCs/>
        </w:rPr>
        <w:t>Adopti</w:t>
      </w:r>
      <w:r w:rsidR="00AA6738" w:rsidRPr="00AA7F05">
        <w:rPr>
          <w:b/>
          <w:bCs/>
        </w:rPr>
        <w:t>o</w:t>
      </w:r>
      <w:r w:rsidR="00B72477" w:rsidRPr="00AA7F05">
        <w:rPr>
          <w:b/>
          <w:bCs/>
        </w:rPr>
        <w:t>n</w:t>
      </w:r>
      <w:r w:rsidR="00AA6738" w:rsidRPr="00AA7F05">
        <w:rPr>
          <w:b/>
          <w:bCs/>
        </w:rPr>
        <w:t xml:space="preserve"> of</w:t>
      </w:r>
      <w:r w:rsidRPr="00AA7F05">
        <w:rPr>
          <w:b/>
          <w:bCs/>
        </w:rPr>
        <w:t xml:space="preserve"> SNA 2008</w:t>
      </w:r>
      <w:r w:rsidR="00A05F32" w:rsidRPr="00AA7F05">
        <w:rPr>
          <w:b/>
          <w:bCs/>
        </w:rPr>
        <w:t xml:space="preserve"> </w:t>
      </w:r>
      <w:r w:rsidR="003057FF">
        <w:rPr>
          <w:b/>
          <w:bCs/>
        </w:rPr>
        <w:t>R</w:t>
      </w:r>
      <w:r w:rsidR="00A05F32" w:rsidRPr="00AA7F05">
        <w:rPr>
          <w:b/>
          <w:bCs/>
        </w:rPr>
        <w:t>ecommendations</w:t>
      </w:r>
    </w:p>
    <w:p w:rsidR="009B0B82" w:rsidRPr="00AA7F05" w:rsidRDefault="006948CF" w:rsidP="00B85896">
      <w:pPr>
        <w:bidi w:val="0"/>
        <w:jc w:val="both"/>
      </w:pPr>
      <w:r w:rsidRPr="00AA7F05">
        <w:t>In line with the commitment</w:t>
      </w:r>
      <w:r w:rsidR="009B0B82" w:rsidRPr="00AA7F05">
        <w:t xml:space="preserve"> of PCBS to</w:t>
      </w:r>
      <w:r w:rsidR="00197BCC" w:rsidRPr="00AA7F05">
        <w:t xml:space="preserve"> adopt the </w:t>
      </w:r>
      <w:r w:rsidR="00B72477" w:rsidRPr="00AA7F05">
        <w:t>latest</w:t>
      </w:r>
      <w:r w:rsidR="00A05F32" w:rsidRPr="00AA7F05">
        <w:t xml:space="preserve"> international recommendation</w:t>
      </w:r>
      <w:r w:rsidRPr="00AA7F05">
        <w:t>s</w:t>
      </w:r>
      <w:r w:rsidR="00B2019B" w:rsidRPr="00AA7F05">
        <w:t xml:space="preserve">     </w:t>
      </w:r>
      <w:r w:rsidR="00A05F32" w:rsidRPr="00AA7F05">
        <w:t xml:space="preserve"> </w:t>
      </w:r>
      <w:r w:rsidRPr="00AA7F05">
        <w:t xml:space="preserve">for </w:t>
      </w:r>
      <w:r w:rsidR="00197BCC" w:rsidRPr="00AA7F05">
        <w:t>statistical system</w:t>
      </w:r>
      <w:r w:rsidRPr="00AA7F05">
        <w:t>s</w:t>
      </w:r>
      <w:r w:rsidR="00197BCC" w:rsidRPr="00AA7F05">
        <w:t xml:space="preserve">, PCBS started to </w:t>
      </w:r>
      <w:r w:rsidR="00AA6738" w:rsidRPr="00AA7F05">
        <w:t>adopt</w:t>
      </w:r>
      <w:r w:rsidR="00197BCC" w:rsidRPr="00AA7F05">
        <w:t xml:space="preserve"> the first steps of SNA</w:t>
      </w:r>
      <w:r w:rsidRPr="00AA7F05">
        <w:t>-</w:t>
      </w:r>
      <w:r w:rsidR="00197BCC" w:rsidRPr="00AA7F05">
        <w:t xml:space="preserve">2008. This </w:t>
      </w:r>
      <w:r w:rsidRPr="00AA7F05">
        <w:t>took the form of</w:t>
      </w:r>
      <w:r w:rsidR="00197BCC" w:rsidRPr="00AA7F05">
        <w:t xml:space="preserve"> developing and updating data collection tools such as surveys</w:t>
      </w:r>
      <w:r w:rsidR="00AA6738" w:rsidRPr="00AA7F05">
        <w:t xml:space="preserve"> and</w:t>
      </w:r>
      <w:r w:rsidR="00197BCC" w:rsidRPr="00AA7F05">
        <w:t xml:space="preserve"> administrative records, </w:t>
      </w:r>
      <w:r w:rsidRPr="00AA7F05">
        <w:t>and improving</w:t>
      </w:r>
      <w:r w:rsidR="00197BCC" w:rsidRPr="00AA7F05">
        <w:t xml:space="preserve"> questionnaires to </w:t>
      </w:r>
      <w:r w:rsidRPr="00AA7F05">
        <w:t>address the</w:t>
      </w:r>
      <w:r w:rsidR="00197BCC" w:rsidRPr="00AA7F05">
        <w:t xml:space="preserve"> </w:t>
      </w:r>
      <w:r w:rsidR="00E40F3B">
        <w:t>concepts and definitions of</w:t>
      </w:r>
      <w:r w:rsidR="00B85896">
        <w:t xml:space="preserve"> </w:t>
      </w:r>
      <w:r w:rsidR="00E40F3B">
        <w:t>SNA-</w:t>
      </w:r>
      <w:r w:rsidR="00197BCC" w:rsidRPr="00AA7F05">
        <w:t>2008 as follow</w:t>
      </w:r>
      <w:r w:rsidRPr="00AA7F05">
        <w:t>s</w:t>
      </w:r>
      <w:r w:rsidR="00197BCC" w:rsidRPr="00AA7F05">
        <w:t>:</w:t>
      </w:r>
    </w:p>
    <w:p w:rsidR="00197BCC" w:rsidRPr="00AA7F05" w:rsidRDefault="00197BCC" w:rsidP="00197BCC">
      <w:pPr>
        <w:bidi w:val="0"/>
        <w:rPr>
          <w:sz w:val="16"/>
          <w:szCs w:val="16"/>
        </w:rPr>
      </w:pPr>
    </w:p>
    <w:p w:rsidR="00197BCC" w:rsidRPr="00052FC9" w:rsidRDefault="00197BCC" w:rsidP="00052FC9">
      <w:pPr>
        <w:pStyle w:val="ListParagraph"/>
        <w:numPr>
          <w:ilvl w:val="0"/>
          <w:numId w:val="18"/>
        </w:numPr>
        <w:bidi w:val="0"/>
        <w:ind w:left="284" w:hanging="284"/>
        <w:jc w:val="both"/>
        <w:rPr>
          <w:b/>
          <w:bCs/>
        </w:rPr>
      </w:pPr>
      <w:r w:rsidRPr="00052FC9">
        <w:rPr>
          <w:b/>
          <w:bCs/>
        </w:rPr>
        <w:t>Financial and insurance activities</w:t>
      </w:r>
    </w:p>
    <w:p w:rsidR="00197BCC" w:rsidRPr="00AA7F05" w:rsidRDefault="00802D74" w:rsidP="00957164">
      <w:pPr>
        <w:pStyle w:val="ListParagraph"/>
        <w:bidi w:val="0"/>
        <w:ind w:left="0"/>
        <w:jc w:val="both"/>
      </w:pPr>
      <w:r w:rsidRPr="00AA7F05">
        <w:t>F</w:t>
      </w:r>
      <w:r w:rsidR="00EA7CBB" w:rsidRPr="00AA7F05">
        <w:t>inancial activity</w:t>
      </w:r>
      <w:r w:rsidR="00197BCC" w:rsidRPr="00AA7F05">
        <w:t xml:space="preserve"> </w:t>
      </w:r>
      <w:r w:rsidR="00EA7CBB" w:rsidRPr="00AA7F05">
        <w:t>is</w:t>
      </w:r>
      <w:r w:rsidR="00197BCC" w:rsidRPr="00AA7F05">
        <w:t xml:space="preserve"> one of the </w:t>
      </w:r>
      <w:r w:rsidR="003D18E4" w:rsidRPr="00AA7F05">
        <w:t xml:space="preserve">activities </w:t>
      </w:r>
      <w:r w:rsidRPr="00AA7F05">
        <w:t xml:space="preserve">considerably </w:t>
      </w:r>
      <w:r w:rsidR="003D18E4" w:rsidRPr="00AA7F05">
        <w:t xml:space="preserve">affected by the changes </w:t>
      </w:r>
      <w:r w:rsidRPr="00AA7F05">
        <w:t>in</w:t>
      </w:r>
      <w:r w:rsidR="00B2019B" w:rsidRPr="00AA7F05">
        <w:t xml:space="preserve">   </w:t>
      </w:r>
      <w:r w:rsidR="003D18E4" w:rsidRPr="00AA7F05">
        <w:t xml:space="preserve"> SNA</w:t>
      </w:r>
      <w:r w:rsidRPr="00AA7F05">
        <w:t>-</w:t>
      </w:r>
      <w:r w:rsidR="003D18E4" w:rsidRPr="00AA7F05">
        <w:t xml:space="preserve">2008, which </w:t>
      </w:r>
      <w:r w:rsidRPr="00AA7F05">
        <w:t xml:space="preserve">altered the classification of </w:t>
      </w:r>
      <w:r w:rsidR="003D18E4" w:rsidRPr="00AA7F05">
        <w:t xml:space="preserve">economic transactions due to changes </w:t>
      </w:r>
      <w:r w:rsidRPr="00AA7F05">
        <w:t>in</w:t>
      </w:r>
      <w:r w:rsidR="003D18E4" w:rsidRPr="00AA7F05">
        <w:t xml:space="preserve"> output and intermediate consumption</w:t>
      </w:r>
      <w:r w:rsidR="00EA7CBB" w:rsidRPr="00AA7F05">
        <w:t xml:space="preserve"> as follows:</w:t>
      </w:r>
    </w:p>
    <w:p w:rsidR="00B72477" w:rsidRPr="00AA7F05" w:rsidRDefault="00B72477" w:rsidP="00957164">
      <w:pPr>
        <w:pStyle w:val="ListParagraph"/>
        <w:numPr>
          <w:ilvl w:val="0"/>
          <w:numId w:val="24"/>
        </w:numPr>
        <w:bidi w:val="0"/>
        <w:ind w:left="567" w:hanging="283"/>
        <w:jc w:val="both"/>
      </w:pPr>
      <w:r w:rsidRPr="00AA7F05">
        <w:t>According to the recommendations of SNA</w:t>
      </w:r>
      <w:r w:rsidR="00D32452" w:rsidRPr="00AA7F05">
        <w:t>-</w:t>
      </w:r>
      <w:r w:rsidRPr="00AA7F05">
        <w:t>2008, the following items were classified as intermediate consumption</w:t>
      </w:r>
      <w:r w:rsidR="00D32452" w:rsidRPr="00AA7F05">
        <w:t>.</w:t>
      </w:r>
      <w:r w:rsidRPr="00AA7F05">
        <w:t xml:space="preserve"> </w:t>
      </w:r>
      <w:r w:rsidR="00D32452" w:rsidRPr="00AA7F05">
        <w:t>T</w:t>
      </w:r>
      <w:r w:rsidRPr="00AA7F05">
        <w:t>his led to increases in intermediate consumption</w:t>
      </w:r>
      <w:r w:rsidR="00AA6738" w:rsidRPr="00AA7F05">
        <w:t>,</w:t>
      </w:r>
      <w:r w:rsidRPr="00AA7F05">
        <w:t xml:space="preserve"> and therefore reduction in the value added:</w:t>
      </w:r>
    </w:p>
    <w:p w:rsidR="0002523F" w:rsidRPr="00AA7F05" w:rsidRDefault="0002523F" w:rsidP="00957164">
      <w:pPr>
        <w:pStyle w:val="ListParagraph"/>
        <w:numPr>
          <w:ilvl w:val="1"/>
          <w:numId w:val="18"/>
        </w:numPr>
        <w:bidi w:val="0"/>
        <w:ind w:left="1134" w:hanging="283"/>
        <w:jc w:val="both"/>
      </w:pPr>
      <w:r w:rsidRPr="00AA7F05">
        <w:t>Institution</w:t>
      </w:r>
      <w:r w:rsidR="00AA6738" w:rsidRPr="00AA7F05">
        <w:t>al</w:t>
      </w:r>
      <w:r w:rsidRPr="00AA7F05">
        <w:t xml:space="preserve"> insurance premiums (excluding employees)</w:t>
      </w:r>
      <w:r w:rsidR="00D32452" w:rsidRPr="00AA7F05">
        <w:t>.</w:t>
      </w:r>
    </w:p>
    <w:p w:rsidR="002108CE" w:rsidRPr="00AA7F05" w:rsidRDefault="0002523F" w:rsidP="00957164">
      <w:pPr>
        <w:pStyle w:val="ListParagraph"/>
        <w:numPr>
          <w:ilvl w:val="1"/>
          <w:numId w:val="18"/>
        </w:numPr>
        <w:bidi w:val="0"/>
        <w:ind w:left="1134" w:hanging="283"/>
        <w:jc w:val="both"/>
      </w:pPr>
      <w:r w:rsidRPr="00AA7F05">
        <w:t xml:space="preserve">Government fees such as the issuance of official transactions </w:t>
      </w:r>
      <w:r w:rsidR="00396593" w:rsidRPr="00AA7F05">
        <w:t>classified as</w:t>
      </w:r>
      <w:r w:rsidRPr="00AA7F05">
        <w:t xml:space="preserve"> government</w:t>
      </w:r>
      <w:r w:rsidR="00396593" w:rsidRPr="00AA7F05">
        <w:t xml:space="preserve"> purchases</w:t>
      </w:r>
      <w:r w:rsidR="002108CE" w:rsidRPr="00AA7F05">
        <w:t>.</w:t>
      </w:r>
    </w:p>
    <w:p w:rsidR="002108CE" w:rsidRPr="00AA7F05" w:rsidRDefault="002108CE" w:rsidP="00957164">
      <w:pPr>
        <w:pStyle w:val="ListParagraph"/>
        <w:numPr>
          <w:ilvl w:val="1"/>
          <w:numId w:val="18"/>
        </w:numPr>
        <w:bidi w:val="0"/>
        <w:ind w:left="1134" w:hanging="283"/>
        <w:jc w:val="both"/>
      </w:pPr>
      <w:r w:rsidRPr="00AA7F05">
        <w:t>Current maintenance of machinery and equipment was added as a separate item within the intermediate consumption</w:t>
      </w:r>
      <w:r w:rsidR="00C22DB9" w:rsidRPr="00AA7F05">
        <w:t>.</w:t>
      </w:r>
    </w:p>
    <w:p w:rsidR="0002523F" w:rsidRPr="00AA7F05" w:rsidRDefault="0002523F" w:rsidP="00957164">
      <w:pPr>
        <w:pStyle w:val="ListParagraph"/>
        <w:numPr>
          <w:ilvl w:val="1"/>
          <w:numId w:val="18"/>
        </w:numPr>
        <w:bidi w:val="0"/>
        <w:ind w:left="1134" w:hanging="283"/>
        <w:jc w:val="both"/>
      </w:pPr>
      <w:r w:rsidRPr="00AA7F05">
        <w:lastRenderedPageBreak/>
        <w:t>Current maintenance of machines and equipment</w:t>
      </w:r>
      <w:r w:rsidR="00BB4507" w:rsidRPr="00AA7F05">
        <w:t xml:space="preserve"> was classified </w:t>
      </w:r>
      <w:r w:rsidR="00D32452" w:rsidRPr="00AA7F05">
        <w:t>as a</w:t>
      </w:r>
      <w:r w:rsidR="00BB4507" w:rsidRPr="00AA7F05">
        <w:t xml:space="preserve"> separate item within intermediate consumption</w:t>
      </w:r>
      <w:r w:rsidRPr="00AA7F05">
        <w:t xml:space="preserve">. </w:t>
      </w:r>
    </w:p>
    <w:p w:rsidR="00B72477" w:rsidRPr="00AA7F05" w:rsidRDefault="00B72477" w:rsidP="00957164">
      <w:pPr>
        <w:pStyle w:val="ListParagraph"/>
        <w:numPr>
          <w:ilvl w:val="0"/>
          <w:numId w:val="22"/>
        </w:numPr>
        <w:bidi w:val="0"/>
        <w:ind w:left="567" w:hanging="283"/>
        <w:jc w:val="both"/>
      </w:pPr>
      <w:r w:rsidRPr="00AA7F05">
        <w:t>Calculati</w:t>
      </w:r>
      <w:r w:rsidR="00D32452" w:rsidRPr="00AA7F05">
        <w:t>o</w:t>
      </w:r>
      <w:r w:rsidRPr="00AA7F05">
        <w:t>n</w:t>
      </w:r>
      <w:r w:rsidR="00D32452" w:rsidRPr="00AA7F05">
        <w:t xml:space="preserve"> of</w:t>
      </w:r>
      <w:r w:rsidRPr="00AA7F05">
        <w:t xml:space="preserve"> FISIM by excluding dividends and investment income</w:t>
      </w:r>
      <w:r w:rsidR="00EA7CBB" w:rsidRPr="00AA7F05">
        <w:t xml:space="preserve"> as property income</w:t>
      </w:r>
      <w:r w:rsidR="007F7C49" w:rsidRPr="00AA7F05">
        <w:t>.</w:t>
      </w:r>
    </w:p>
    <w:p w:rsidR="00B1547F" w:rsidRPr="00AA7F05" w:rsidRDefault="00E764CD" w:rsidP="00957164">
      <w:pPr>
        <w:pStyle w:val="ListParagraph"/>
        <w:numPr>
          <w:ilvl w:val="0"/>
          <w:numId w:val="22"/>
        </w:numPr>
        <w:bidi w:val="0"/>
        <w:ind w:left="567" w:hanging="283"/>
        <w:jc w:val="both"/>
      </w:pPr>
      <w:r w:rsidRPr="00AA7F05">
        <w:t>Stock divi</w:t>
      </w:r>
      <w:r w:rsidR="00396593" w:rsidRPr="00AA7F05">
        <w:t>dends classified as property in</w:t>
      </w:r>
      <w:r w:rsidRPr="00AA7F05">
        <w:t xml:space="preserve">come </w:t>
      </w:r>
      <w:r w:rsidR="00D32452" w:rsidRPr="00AA7F05">
        <w:t>rather than</w:t>
      </w:r>
      <w:r w:rsidRPr="00AA7F05">
        <w:t xml:space="preserve"> revenues and transfers.</w:t>
      </w:r>
    </w:p>
    <w:p w:rsidR="0002523F" w:rsidRPr="00957164" w:rsidRDefault="0002523F" w:rsidP="00957164">
      <w:pPr>
        <w:bidi w:val="0"/>
        <w:jc w:val="both"/>
      </w:pPr>
    </w:p>
    <w:p w:rsidR="00197BCC" w:rsidRPr="00052FC9" w:rsidRDefault="00E764CD" w:rsidP="00957164">
      <w:pPr>
        <w:pStyle w:val="ListParagraph"/>
        <w:numPr>
          <w:ilvl w:val="0"/>
          <w:numId w:val="18"/>
        </w:numPr>
        <w:bidi w:val="0"/>
        <w:ind w:left="284" w:hanging="284"/>
        <w:jc w:val="both"/>
        <w:rPr>
          <w:b/>
          <w:bCs/>
        </w:rPr>
      </w:pPr>
      <w:r w:rsidRPr="00052FC9">
        <w:rPr>
          <w:b/>
          <w:bCs/>
        </w:rPr>
        <w:t>Economic Surveys</w:t>
      </w:r>
    </w:p>
    <w:p w:rsidR="00E764CD" w:rsidRPr="00AA7F05" w:rsidRDefault="00E764CD" w:rsidP="00957164">
      <w:pPr>
        <w:bidi w:val="0"/>
        <w:jc w:val="both"/>
      </w:pPr>
      <w:r w:rsidRPr="00AA7F05">
        <w:t xml:space="preserve">The questionnaire of economic surveys </w:t>
      </w:r>
      <w:r w:rsidR="00020BD5" w:rsidRPr="00AA7F05">
        <w:t xml:space="preserve">was </w:t>
      </w:r>
      <w:r w:rsidRPr="00AA7F05">
        <w:t>adju</w:t>
      </w:r>
      <w:r w:rsidR="00396593" w:rsidRPr="00AA7F05">
        <w:t xml:space="preserve">sted to </w:t>
      </w:r>
      <w:r w:rsidR="00020BD5" w:rsidRPr="00AA7F05">
        <w:t xml:space="preserve">meet the </w:t>
      </w:r>
      <w:r w:rsidR="00396593" w:rsidRPr="00AA7F05">
        <w:t xml:space="preserve">international </w:t>
      </w:r>
      <w:r w:rsidR="003E6D63" w:rsidRPr="00AA7F05">
        <w:t>recommendation</w:t>
      </w:r>
      <w:r w:rsidR="00020BD5" w:rsidRPr="00AA7F05">
        <w:t>s</w:t>
      </w:r>
      <w:r w:rsidR="003E6D63" w:rsidRPr="00AA7F05">
        <w:t xml:space="preserve"> </w:t>
      </w:r>
      <w:r w:rsidR="00396593" w:rsidRPr="00AA7F05">
        <w:t xml:space="preserve">of </w:t>
      </w:r>
      <w:r w:rsidRPr="00AA7F05">
        <w:t>SNA</w:t>
      </w:r>
      <w:r w:rsidR="00020BD5" w:rsidRPr="00AA7F05">
        <w:t>-</w:t>
      </w:r>
      <w:r w:rsidRPr="00AA7F05">
        <w:t>2008:</w:t>
      </w:r>
    </w:p>
    <w:p w:rsidR="00E764CD" w:rsidRPr="00AA7F05" w:rsidRDefault="00020BD5" w:rsidP="00957164">
      <w:pPr>
        <w:pStyle w:val="ListParagraph"/>
        <w:numPr>
          <w:ilvl w:val="0"/>
          <w:numId w:val="23"/>
        </w:numPr>
        <w:bidi w:val="0"/>
        <w:ind w:left="567" w:hanging="283"/>
        <w:jc w:val="both"/>
      </w:pPr>
      <w:r w:rsidRPr="00AA7F05">
        <w:t>The r</w:t>
      </w:r>
      <w:r w:rsidR="00E764CD" w:rsidRPr="00AA7F05">
        <w:t xml:space="preserve">ecording </w:t>
      </w:r>
      <w:r w:rsidRPr="00AA7F05">
        <w:t>of g</w:t>
      </w:r>
      <w:r w:rsidR="00E764CD" w:rsidRPr="00AA7F05">
        <w:t xml:space="preserve">overnment fees such as court fees, </w:t>
      </w:r>
      <w:r w:rsidRPr="00AA7F05">
        <w:t xml:space="preserve">and the </w:t>
      </w:r>
      <w:r w:rsidR="00E764CD" w:rsidRPr="00AA7F05">
        <w:t xml:space="preserve">issuing </w:t>
      </w:r>
      <w:r w:rsidRPr="00AA7F05">
        <w:t xml:space="preserve">of </w:t>
      </w:r>
      <w:r w:rsidR="00E764CD" w:rsidRPr="00AA7F05">
        <w:t>official transactions within gover</w:t>
      </w:r>
      <w:r w:rsidR="00993939" w:rsidRPr="00AA7F05">
        <w:t>n</w:t>
      </w:r>
      <w:r w:rsidR="00E764CD" w:rsidRPr="00AA7F05">
        <w:t>m</w:t>
      </w:r>
      <w:r w:rsidR="00993939" w:rsidRPr="00AA7F05">
        <w:t>en</w:t>
      </w:r>
      <w:r w:rsidR="00E764CD" w:rsidRPr="00AA7F05">
        <w:t xml:space="preserve">t purchases and as </w:t>
      </w:r>
      <w:r w:rsidR="00396593" w:rsidRPr="00AA7F05">
        <w:t>intermediate consumption</w:t>
      </w:r>
      <w:r w:rsidR="00E764CD" w:rsidRPr="00AA7F05">
        <w:t xml:space="preserve"> </w:t>
      </w:r>
      <w:r w:rsidRPr="00AA7F05">
        <w:t>rather than</w:t>
      </w:r>
      <w:r w:rsidR="00E764CD" w:rsidRPr="00AA7F05">
        <w:t xml:space="preserve"> </w:t>
      </w:r>
      <w:r w:rsidR="00396593" w:rsidRPr="00AA7F05">
        <w:t>transfers</w:t>
      </w:r>
      <w:r w:rsidR="00E764CD" w:rsidRPr="00AA7F05">
        <w:t>.</w:t>
      </w:r>
    </w:p>
    <w:p w:rsidR="00E764CD" w:rsidRPr="00AA7F05" w:rsidRDefault="00E764CD" w:rsidP="00957164">
      <w:pPr>
        <w:pStyle w:val="ListParagraph"/>
        <w:numPr>
          <w:ilvl w:val="0"/>
          <w:numId w:val="23"/>
        </w:numPr>
        <w:bidi w:val="0"/>
        <w:ind w:left="567" w:hanging="283"/>
        <w:jc w:val="both"/>
      </w:pPr>
      <w:r w:rsidRPr="00AA7F05">
        <w:t>Rearrangement of some items of intermediate consumption and current transfers.</w:t>
      </w:r>
    </w:p>
    <w:p w:rsidR="00E764CD" w:rsidRPr="00AA7F05" w:rsidRDefault="00E764CD" w:rsidP="00957164">
      <w:pPr>
        <w:pStyle w:val="ListParagraph"/>
        <w:numPr>
          <w:ilvl w:val="0"/>
          <w:numId w:val="23"/>
        </w:numPr>
        <w:bidi w:val="0"/>
        <w:ind w:left="567" w:hanging="283"/>
        <w:jc w:val="both"/>
      </w:pPr>
      <w:r w:rsidRPr="00AA7F05">
        <w:t>Addin</w:t>
      </w:r>
      <w:r w:rsidR="007F7C49" w:rsidRPr="00AA7F05">
        <w:t>g property income items (</w:t>
      </w:r>
      <w:r w:rsidRPr="00AA7F05">
        <w:t>ex</w:t>
      </w:r>
      <w:r w:rsidR="00020BD5" w:rsidRPr="00AA7F05">
        <w:t>cluding</w:t>
      </w:r>
      <w:r w:rsidRPr="00AA7F05">
        <w:t xml:space="preserve"> </w:t>
      </w:r>
      <w:r w:rsidR="00020BD5" w:rsidRPr="00AA7F05">
        <w:t>l</w:t>
      </w:r>
      <w:r w:rsidRPr="00AA7F05">
        <w:t xml:space="preserve">and rent, </w:t>
      </w:r>
      <w:r w:rsidR="00993939" w:rsidRPr="00AA7F05">
        <w:t>interest</w:t>
      </w:r>
      <w:r w:rsidRPr="00AA7F05">
        <w:t xml:space="preserve"> on deposits and loans,</w:t>
      </w:r>
      <w:r w:rsidR="006C4652" w:rsidRPr="00AA7F05">
        <w:t xml:space="preserve"> or</w:t>
      </w:r>
      <w:r w:rsidRPr="00AA7F05">
        <w:t xml:space="preserve"> stock dividends) as </w:t>
      </w:r>
      <w:r w:rsidR="00020BD5" w:rsidRPr="00AA7F05">
        <w:t xml:space="preserve">a </w:t>
      </w:r>
      <w:r w:rsidRPr="00AA7F05">
        <w:t xml:space="preserve">requirement to compile </w:t>
      </w:r>
      <w:r w:rsidR="00020BD5" w:rsidRPr="00AA7F05">
        <w:t xml:space="preserve">the </w:t>
      </w:r>
      <w:r w:rsidRPr="00AA7F05">
        <w:t>distribution and redistribution of income accounts.</w:t>
      </w:r>
    </w:p>
    <w:p w:rsidR="00993939" w:rsidRPr="00AA7F05" w:rsidRDefault="00993939" w:rsidP="00957164">
      <w:pPr>
        <w:pStyle w:val="ListParagraph"/>
        <w:numPr>
          <w:ilvl w:val="0"/>
          <w:numId w:val="23"/>
        </w:numPr>
        <w:bidi w:val="0"/>
        <w:ind w:left="567" w:hanging="283"/>
        <w:jc w:val="both"/>
      </w:pPr>
      <w:r w:rsidRPr="00AA7F05">
        <w:t xml:space="preserve">Adding </w:t>
      </w:r>
      <w:r w:rsidR="00020BD5" w:rsidRPr="00AA7F05">
        <w:t xml:space="preserve">a </w:t>
      </w:r>
      <w:r w:rsidRPr="00AA7F05">
        <w:t xml:space="preserve">table related to </w:t>
      </w:r>
      <w:r w:rsidR="00396593" w:rsidRPr="00AA7F05">
        <w:t>other</w:t>
      </w:r>
      <w:r w:rsidRPr="00AA7F05">
        <w:t xml:space="preserve"> transfers</w:t>
      </w:r>
      <w:r w:rsidR="00020BD5" w:rsidRPr="00AA7F05">
        <w:t>,</w:t>
      </w:r>
      <w:r w:rsidRPr="00AA7F05">
        <w:t xml:space="preserve"> includ</w:t>
      </w:r>
      <w:r w:rsidR="00020BD5" w:rsidRPr="00AA7F05">
        <w:t>ing</w:t>
      </w:r>
      <w:r w:rsidRPr="00AA7F05">
        <w:t xml:space="preserve"> taxes on income and wealth, pension entitlements and social funds, a</w:t>
      </w:r>
      <w:r w:rsidR="00020BD5" w:rsidRPr="00AA7F05">
        <w:t>n</w:t>
      </w:r>
      <w:r w:rsidRPr="00AA7F05">
        <w:t>d</w:t>
      </w:r>
      <w:r w:rsidR="00EA7CBB" w:rsidRPr="00AA7F05">
        <w:t xml:space="preserve"> grants in kind</w:t>
      </w:r>
      <w:r w:rsidR="00020BD5" w:rsidRPr="00AA7F05">
        <w:t>,</w:t>
      </w:r>
      <w:r w:rsidR="00EA7CBB" w:rsidRPr="00AA7F05">
        <w:t xml:space="preserve"> cash</w:t>
      </w:r>
      <w:r w:rsidRPr="00AA7F05">
        <w:t xml:space="preserve"> and other transfers</w:t>
      </w:r>
    </w:p>
    <w:p w:rsidR="009B0B82" w:rsidRPr="00957164" w:rsidRDefault="009B0B82" w:rsidP="00957164">
      <w:pPr>
        <w:pStyle w:val="ListParagraph"/>
        <w:ind w:left="567" w:hanging="283"/>
        <w:jc w:val="both"/>
      </w:pPr>
    </w:p>
    <w:p w:rsidR="00461B79" w:rsidRPr="00AA7F05" w:rsidRDefault="0097260F" w:rsidP="00957164">
      <w:pPr>
        <w:bidi w:val="0"/>
        <w:rPr>
          <w:b/>
          <w:bCs/>
          <w:lang w:val="en-GB"/>
        </w:rPr>
      </w:pPr>
      <w:r w:rsidRPr="00AA7F05">
        <w:rPr>
          <w:b/>
          <w:bCs/>
          <w:lang w:val="en-GB"/>
        </w:rPr>
        <w:t>2</w:t>
      </w:r>
      <w:r w:rsidR="00650DD6" w:rsidRPr="00AA7F05">
        <w:rPr>
          <w:b/>
          <w:bCs/>
          <w:lang w:val="en-GB"/>
        </w:rPr>
        <w:t>.1.</w:t>
      </w:r>
      <w:r w:rsidR="00461B79" w:rsidRPr="00AA7F05">
        <w:rPr>
          <w:b/>
          <w:bCs/>
          <w:lang w:val="en-GB"/>
        </w:rPr>
        <w:t xml:space="preserve">2 </w:t>
      </w:r>
      <w:r w:rsidR="00461B79" w:rsidRPr="00AA7F05">
        <w:rPr>
          <w:b/>
          <w:bCs/>
        </w:rPr>
        <w:t>National Accounts</w:t>
      </w:r>
      <w:r w:rsidR="00461B79" w:rsidRPr="00AA7F05">
        <w:rPr>
          <w:b/>
          <w:bCs/>
          <w:lang w:val="en-GB"/>
        </w:rPr>
        <w:t xml:space="preserve"> at Constant Prices</w:t>
      </w:r>
      <w:r w:rsidR="00957164">
        <w:rPr>
          <w:rFonts w:hint="cs"/>
          <w:b/>
          <w:bCs/>
          <w:rtl/>
          <w:lang w:val="en-GB"/>
        </w:rPr>
        <w:t xml:space="preserve"> </w:t>
      </w:r>
    </w:p>
    <w:p w:rsidR="00461B79" w:rsidRPr="00AA7F05" w:rsidRDefault="00461B79" w:rsidP="00EA7CBB">
      <w:pPr>
        <w:bidi w:val="0"/>
        <w:jc w:val="lowKashida"/>
        <w:rPr>
          <w:lang w:val="en-GB"/>
        </w:rPr>
      </w:pPr>
      <w:r w:rsidRPr="00AA7F05">
        <w:rPr>
          <w:lang w:val="en-GB"/>
        </w:rPr>
        <w:t xml:space="preserve">The methodology for compiling </w:t>
      </w:r>
      <w:r w:rsidR="00DD75EE" w:rsidRPr="00AA7F05">
        <w:rPr>
          <w:lang w:val="en-GB"/>
        </w:rPr>
        <w:t>N</w:t>
      </w:r>
      <w:r w:rsidRPr="00AA7F05">
        <w:rPr>
          <w:lang w:val="en-GB"/>
        </w:rPr>
        <w:t xml:space="preserve">ational </w:t>
      </w:r>
      <w:r w:rsidR="00DD75EE" w:rsidRPr="00AA7F05">
        <w:rPr>
          <w:lang w:val="en-GB"/>
        </w:rPr>
        <w:t>A</w:t>
      </w:r>
      <w:r w:rsidRPr="00AA7F05">
        <w:rPr>
          <w:lang w:val="en-GB"/>
        </w:rPr>
        <w:t xml:space="preserve">ccounts at constant prices </w:t>
      </w:r>
      <w:r w:rsidR="00CE2506" w:rsidRPr="00AA7F05">
        <w:rPr>
          <w:lang w:val="en-GB"/>
        </w:rPr>
        <w:t xml:space="preserve">was </w:t>
      </w:r>
      <w:r w:rsidRPr="00AA7F05">
        <w:rPr>
          <w:lang w:val="en-GB"/>
        </w:rPr>
        <w:t xml:space="preserve">based on a set of price indices and deflators. PCBS </w:t>
      </w:r>
      <w:r w:rsidR="0052418E" w:rsidRPr="00AA7F05">
        <w:rPr>
          <w:lang w:val="en-GB"/>
        </w:rPr>
        <w:t>compile</w:t>
      </w:r>
      <w:r w:rsidR="00DD75EE" w:rsidRPr="00AA7F05">
        <w:rPr>
          <w:lang w:val="en-GB"/>
        </w:rPr>
        <w:t>d</w:t>
      </w:r>
      <w:r w:rsidRPr="00AA7F05">
        <w:rPr>
          <w:lang w:val="en-GB"/>
        </w:rPr>
        <w:t xml:space="preserve"> </w:t>
      </w:r>
      <w:r w:rsidR="00C45678" w:rsidRPr="00AA7F05">
        <w:t>three</w:t>
      </w:r>
      <w:r w:rsidRPr="00AA7F05">
        <w:rPr>
          <w:lang w:val="en-GB"/>
        </w:rPr>
        <w:t xml:space="preserve"> types of </w:t>
      </w:r>
      <w:r w:rsidR="00CA1E1B" w:rsidRPr="00AA7F05">
        <w:rPr>
          <w:lang w:val="en-GB"/>
        </w:rPr>
        <w:t xml:space="preserve">price </w:t>
      </w:r>
      <w:r w:rsidRPr="00AA7F05">
        <w:rPr>
          <w:lang w:val="en-GB"/>
        </w:rPr>
        <w:t xml:space="preserve">indices </w:t>
      </w:r>
      <w:r w:rsidR="00CA1E1B" w:rsidRPr="00AA7F05">
        <w:rPr>
          <w:lang w:val="en-GB"/>
        </w:rPr>
        <w:t>(consumer price index, producer</w:t>
      </w:r>
      <w:r w:rsidR="00C45678" w:rsidRPr="00AA7F05">
        <w:rPr>
          <w:lang w:val="en-GB"/>
        </w:rPr>
        <w:t xml:space="preserve"> and </w:t>
      </w:r>
      <w:r w:rsidR="004C4932" w:rsidRPr="00AA7F05">
        <w:rPr>
          <w:lang w:val="en-GB"/>
        </w:rPr>
        <w:t>wholesale</w:t>
      </w:r>
      <w:r w:rsidRPr="00AA7F05">
        <w:rPr>
          <w:lang w:val="en-GB"/>
        </w:rPr>
        <w:t xml:space="preserve"> price </w:t>
      </w:r>
      <w:r w:rsidR="00CA1E1B" w:rsidRPr="00AA7F05">
        <w:rPr>
          <w:lang w:val="en-GB"/>
        </w:rPr>
        <w:t>index</w:t>
      </w:r>
      <w:r w:rsidRPr="00AA7F05">
        <w:rPr>
          <w:lang w:val="en-GB"/>
        </w:rPr>
        <w:t xml:space="preserve">) based on </w:t>
      </w:r>
      <w:r w:rsidR="0089176B" w:rsidRPr="00AA7F05">
        <w:rPr>
          <w:lang w:val="en-GB"/>
        </w:rPr>
        <w:t>2004</w:t>
      </w:r>
      <w:r w:rsidRPr="00AA7F05">
        <w:rPr>
          <w:lang w:val="en-GB"/>
        </w:rPr>
        <w:t xml:space="preserve"> as </w:t>
      </w:r>
      <w:r w:rsidR="00B0255F" w:rsidRPr="00AA7F05">
        <w:rPr>
          <w:lang w:val="en-GB"/>
        </w:rPr>
        <w:t>the</w:t>
      </w:r>
      <w:r w:rsidRPr="00AA7F05">
        <w:rPr>
          <w:lang w:val="en-GB"/>
        </w:rPr>
        <w:t xml:space="preserve"> base year for the CPI</w:t>
      </w:r>
      <w:r w:rsidR="00B0255F" w:rsidRPr="00AA7F05">
        <w:rPr>
          <w:lang w:val="en-GB"/>
        </w:rPr>
        <w:t xml:space="preserve"> and</w:t>
      </w:r>
      <w:r w:rsidRPr="00AA7F05">
        <w:rPr>
          <w:lang w:val="en-GB"/>
        </w:rPr>
        <w:t xml:space="preserve"> </w:t>
      </w:r>
      <w:r w:rsidR="009A221B" w:rsidRPr="00AA7F05">
        <w:rPr>
          <w:lang w:val="en-GB"/>
        </w:rPr>
        <w:t xml:space="preserve">2007 </w:t>
      </w:r>
      <w:r w:rsidR="00B0255F" w:rsidRPr="00AA7F05">
        <w:rPr>
          <w:lang w:val="en-GB"/>
        </w:rPr>
        <w:t>a</w:t>
      </w:r>
      <w:r w:rsidRPr="00AA7F05">
        <w:rPr>
          <w:lang w:val="en-GB"/>
        </w:rPr>
        <w:t xml:space="preserve">s the base year for the producer and </w:t>
      </w:r>
      <w:r w:rsidR="004C4932" w:rsidRPr="00AA7F05">
        <w:rPr>
          <w:lang w:val="en-GB"/>
        </w:rPr>
        <w:t>wholesale</w:t>
      </w:r>
      <w:r w:rsidRPr="00AA7F05">
        <w:rPr>
          <w:lang w:val="en-GB"/>
        </w:rPr>
        <w:t xml:space="preserve"> price index.</w:t>
      </w:r>
    </w:p>
    <w:p w:rsidR="00CE2506" w:rsidRPr="00957164" w:rsidRDefault="00CE2506" w:rsidP="00461B79">
      <w:pPr>
        <w:bidi w:val="0"/>
        <w:jc w:val="lowKashida"/>
        <w:rPr>
          <w:sz w:val="22"/>
          <w:szCs w:val="22"/>
          <w:lang w:val="en-GB"/>
        </w:rPr>
      </w:pPr>
    </w:p>
    <w:p w:rsidR="00461B79" w:rsidRPr="00AA7F05" w:rsidRDefault="00461B79" w:rsidP="005E5EFB">
      <w:pPr>
        <w:bidi w:val="0"/>
        <w:jc w:val="lowKashida"/>
        <w:rPr>
          <w:lang w:val="en-GB"/>
        </w:rPr>
      </w:pPr>
      <w:r w:rsidRPr="00AA7F05">
        <w:rPr>
          <w:lang w:val="en-GB"/>
        </w:rPr>
        <w:t xml:space="preserve">PCBS adopted </w:t>
      </w:r>
      <w:r w:rsidR="007218F1" w:rsidRPr="00AA7F05">
        <w:rPr>
          <w:lang w:val="en-GB"/>
        </w:rPr>
        <w:t xml:space="preserve">a </w:t>
      </w:r>
      <w:r w:rsidR="00CD24BF" w:rsidRPr="00AA7F05">
        <w:rPr>
          <w:lang w:val="en-GB"/>
        </w:rPr>
        <w:t>double–</w:t>
      </w:r>
      <w:r w:rsidRPr="00AA7F05">
        <w:rPr>
          <w:lang w:val="en-GB"/>
        </w:rPr>
        <w:t xml:space="preserve">deflation method </w:t>
      </w:r>
      <w:r w:rsidR="00B0255F" w:rsidRPr="00AA7F05">
        <w:rPr>
          <w:lang w:val="en-GB"/>
        </w:rPr>
        <w:t>of</w:t>
      </w:r>
      <w:r w:rsidRPr="00AA7F05">
        <w:rPr>
          <w:lang w:val="en-GB"/>
        </w:rPr>
        <w:t xml:space="preserve"> deflating </w:t>
      </w:r>
      <w:r w:rsidR="00B0255F" w:rsidRPr="00AA7F05">
        <w:rPr>
          <w:lang w:val="en-GB"/>
        </w:rPr>
        <w:t xml:space="preserve">the </w:t>
      </w:r>
      <w:r w:rsidRPr="00AA7F05">
        <w:rPr>
          <w:lang w:val="en-GB"/>
        </w:rPr>
        <w:t>main transactions</w:t>
      </w:r>
      <w:r w:rsidR="00B0255F" w:rsidRPr="00AA7F05">
        <w:rPr>
          <w:lang w:val="en-GB"/>
        </w:rPr>
        <w:t>.</w:t>
      </w:r>
      <w:r w:rsidR="0052418E" w:rsidRPr="00AA7F05">
        <w:rPr>
          <w:lang w:val="en-GB"/>
        </w:rPr>
        <w:t xml:space="preserve"> </w:t>
      </w:r>
      <w:r w:rsidR="00B0255F" w:rsidRPr="00AA7F05">
        <w:rPr>
          <w:lang w:val="en-GB"/>
        </w:rPr>
        <w:t xml:space="preserve">Also, </w:t>
      </w:r>
      <w:r w:rsidR="00DD75EE" w:rsidRPr="00AA7F05">
        <w:rPr>
          <w:lang w:val="en-GB"/>
        </w:rPr>
        <w:t xml:space="preserve">updated methodology was used for </w:t>
      </w:r>
      <w:r w:rsidR="0052418E" w:rsidRPr="00AA7F05">
        <w:rPr>
          <w:lang w:val="en-GB"/>
        </w:rPr>
        <w:t xml:space="preserve">the compilation of </w:t>
      </w:r>
      <w:r w:rsidR="00AB18B4" w:rsidRPr="00AA7F05">
        <w:rPr>
          <w:lang w:val="en-GB"/>
        </w:rPr>
        <w:t xml:space="preserve">the </w:t>
      </w:r>
      <w:r w:rsidR="00DD75EE" w:rsidRPr="00AA7F05">
        <w:rPr>
          <w:lang w:val="en-GB"/>
        </w:rPr>
        <w:t>N</w:t>
      </w:r>
      <w:r w:rsidR="0052418E" w:rsidRPr="00AA7F05">
        <w:rPr>
          <w:lang w:val="en-GB"/>
        </w:rPr>
        <w:t xml:space="preserve">ational </w:t>
      </w:r>
      <w:r w:rsidR="00DD75EE" w:rsidRPr="00AA7F05">
        <w:rPr>
          <w:lang w:val="en-GB"/>
        </w:rPr>
        <w:t>A</w:t>
      </w:r>
      <w:r w:rsidR="00EA7CBB" w:rsidRPr="00AA7F05">
        <w:rPr>
          <w:lang w:val="en-GB"/>
        </w:rPr>
        <w:t>ccounts 2012</w:t>
      </w:r>
      <w:r w:rsidR="008737C2" w:rsidRPr="00AA7F05">
        <w:rPr>
          <w:lang w:val="en-GB"/>
        </w:rPr>
        <w:t xml:space="preserve"> and</w:t>
      </w:r>
      <w:r w:rsidR="00EA7CBB" w:rsidRPr="00AA7F05">
        <w:rPr>
          <w:lang w:val="en-GB"/>
        </w:rPr>
        <w:t xml:space="preserve"> </w:t>
      </w:r>
      <w:r w:rsidR="00F760CE" w:rsidRPr="00AA7F05">
        <w:rPr>
          <w:lang w:val="en-GB"/>
        </w:rPr>
        <w:t>2013</w:t>
      </w:r>
      <w:r w:rsidR="0052418E" w:rsidRPr="00AA7F05">
        <w:rPr>
          <w:lang w:val="en-GB"/>
        </w:rPr>
        <w:t xml:space="preserve"> in </w:t>
      </w:r>
      <w:r w:rsidR="00B0255F" w:rsidRPr="00AA7F05">
        <w:rPr>
          <w:lang w:val="en-GB"/>
        </w:rPr>
        <w:t xml:space="preserve">line </w:t>
      </w:r>
      <w:r w:rsidR="0052418E" w:rsidRPr="00AA7F05">
        <w:rPr>
          <w:lang w:val="en-GB"/>
        </w:rPr>
        <w:t>with international recommendation</w:t>
      </w:r>
      <w:r w:rsidR="00B0255F" w:rsidRPr="00AA7F05">
        <w:rPr>
          <w:lang w:val="en-GB"/>
        </w:rPr>
        <w:t>s</w:t>
      </w:r>
      <w:r w:rsidR="0052418E" w:rsidRPr="00AA7F05">
        <w:rPr>
          <w:lang w:val="en-GB"/>
        </w:rPr>
        <w:t xml:space="preserve"> </w:t>
      </w:r>
      <w:r w:rsidR="00B0255F" w:rsidRPr="00AA7F05">
        <w:rPr>
          <w:lang w:val="en-GB"/>
        </w:rPr>
        <w:t>to</w:t>
      </w:r>
      <w:r w:rsidR="0052418E" w:rsidRPr="00AA7F05">
        <w:rPr>
          <w:lang w:val="en-GB"/>
        </w:rPr>
        <w:t xml:space="preserve"> adopt the </w:t>
      </w:r>
      <w:r w:rsidR="005E5EFB" w:rsidRPr="00C74B50">
        <w:rPr>
          <w:snapToGrid w:val="0"/>
          <w:color w:val="000000" w:themeColor="text1"/>
        </w:rPr>
        <w:t>ISIC</w:t>
      </w:r>
      <w:r w:rsidR="005E5EFB">
        <w:rPr>
          <w:snapToGrid w:val="0"/>
          <w:color w:val="000000" w:themeColor="text1"/>
        </w:rPr>
        <w:t>-</w:t>
      </w:r>
      <w:r w:rsidR="005E5EFB" w:rsidRPr="00C74B50">
        <w:rPr>
          <w:snapToGrid w:val="0"/>
          <w:color w:val="000000" w:themeColor="text1"/>
        </w:rPr>
        <w:t>rev</w:t>
      </w:r>
      <w:r w:rsidR="005E5EFB">
        <w:rPr>
          <w:snapToGrid w:val="0"/>
          <w:color w:val="000000" w:themeColor="text1"/>
        </w:rPr>
        <w:t xml:space="preserve"> </w:t>
      </w:r>
      <w:r w:rsidR="005E5EFB" w:rsidRPr="00C74B50">
        <w:rPr>
          <w:snapToGrid w:val="0"/>
          <w:color w:val="000000" w:themeColor="text1"/>
        </w:rPr>
        <w:t>4</w:t>
      </w:r>
      <w:r w:rsidR="0052418E" w:rsidRPr="00AA7F05">
        <w:rPr>
          <w:lang w:val="en-GB"/>
        </w:rPr>
        <w:t xml:space="preserve"> classification. </w:t>
      </w:r>
      <w:r w:rsidR="00B0255F" w:rsidRPr="00AA7F05">
        <w:rPr>
          <w:lang w:val="en-GB"/>
        </w:rPr>
        <w:t>T</w:t>
      </w:r>
      <w:r w:rsidR="0052418E" w:rsidRPr="00AA7F05">
        <w:rPr>
          <w:lang w:val="en-GB"/>
        </w:rPr>
        <w:t xml:space="preserve">he new methodology </w:t>
      </w:r>
      <w:r w:rsidR="00EA7CBB" w:rsidRPr="00AA7F05">
        <w:rPr>
          <w:lang w:val="en-GB"/>
        </w:rPr>
        <w:t xml:space="preserve">also </w:t>
      </w:r>
      <w:r w:rsidR="0052418E" w:rsidRPr="00AA7F05">
        <w:rPr>
          <w:lang w:val="en-GB"/>
        </w:rPr>
        <w:t xml:space="preserve">takes </w:t>
      </w:r>
      <w:r w:rsidR="00B0255F" w:rsidRPr="00AA7F05">
        <w:rPr>
          <w:lang w:val="en-GB"/>
        </w:rPr>
        <w:t>into consideration di</w:t>
      </w:r>
      <w:r w:rsidR="007F693A" w:rsidRPr="00AA7F05">
        <w:rPr>
          <w:lang w:val="en-GB"/>
        </w:rPr>
        <w:t>screpancies</w:t>
      </w:r>
      <w:r w:rsidR="00B0255F" w:rsidRPr="00AA7F05">
        <w:rPr>
          <w:lang w:val="en-GB"/>
        </w:rPr>
        <w:t xml:space="preserve"> in</w:t>
      </w:r>
      <w:r w:rsidR="0052418E" w:rsidRPr="00AA7F05">
        <w:rPr>
          <w:lang w:val="en-GB"/>
        </w:rPr>
        <w:t xml:space="preserve"> prices between </w:t>
      </w:r>
      <w:r w:rsidR="00B0255F" w:rsidRPr="00AA7F05">
        <w:rPr>
          <w:lang w:val="en-GB"/>
        </w:rPr>
        <w:t>the</w:t>
      </w:r>
      <w:r w:rsidR="0052418E" w:rsidRPr="00AA7F05">
        <w:rPr>
          <w:lang w:val="en-GB"/>
        </w:rPr>
        <w:t xml:space="preserve"> West </w:t>
      </w:r>
      <w:r w:rsidR="00B0255F" w:rsidRPr="00AA7F05">
        <w:rPr>
          <w:lang w:val="en-GB"/>
        </w:rPr>
        <w:t>B</w:t>
      </w:r>
      <w:r w:rsidR="0052418E" w:rsidRPr="00AA7F05">
        <w:rPr>
          <w:lang w:val="en-GB"/>
        </w:rPr>
        <w:t>ank and Gaza Strip</w:t>
      </w:r>
      <w:r w:rsidR="006C4652" w:rsidRPr="00AA7F05">
        <w:rPr>
          <w:lang w:val="en-GB"/>
        </w:rPr>
        <w:t>.</w:t>
      </w:r>
      <w:r w:rsidR="0052418E" w:rsidRPr="00AA7F05">
        <w:rPr>
          <w:lang w:val="en-GB"/>
        </w:rPr>
        <w:t xml:space="preserve"> </w:t>
      </w:r>
      <w:r w:rsidR="006C4652" w:rsidRPr="00AA7F05">
        <w:rPr>
          <w:lang w:val="en-GB"/>
        </w:rPr>
        <w:t>I</w:t>
      </w:r>
      <w:r w:rsidR="0052418E" w:rsidRPr="00AA7F05">
        <w:rPr>
          <w:lang w:val="en-GB"/>
        </w:rPr>
        <w:t>t recommend</w:t>
      </w:r>
      <w:r w:rsidR="00B0255F" w:rsidRPr="00AA7F05">
        <w:rPr>
          <w:lang w:val="en-GB"/>
        </w:rPr>
        <w:t>s</w:t>
      </w:r>
      <w:r w:rsidR="0052418E" w:rsidRPr="00AA7F05">
        <w:rPr>
          <w:lang w:val="en-GB"/>
        </w:rPr>
        <w:t xml:space="preserve"> compiling separate indices for both </w:t>
      </w:r>
      <w:r w:rsidR="00B0255F" w:rsidRPr="00AA7F05">
        <w:rPr>
          <w:lang w:val="en-GB"/>
        </w:rPr>
        <w:t xml:space="preserve">the </w:t>
      </w:r>
      <w:r w:rsidR="0052418E" w:rsidRPr="00AA7F05">
        <w:rPr>
          <w:lang w:val="en-GB"/>
        </w:rPr>
        <w:t xml:space="preserve">West </w:t>
      </w:r>
      <w:r w:rsidR="00B0255F" w:rsidRPr="00AA7F05">
        <w:rPr>
          <w:lang w:val="en-GB"/>
        </w:rPr>
        <w:t>B</w:t>
      </w:r>
      <w:r w:rsidR="0052418E" w:rsidRPr="00AA7F05">
        <w:rPr>
          <w:lang w:val="en-GB"/>
        </w:rPr>
        <w:t xml:space="preserve">ank and Gaza Strip and therefore separate deflators, taking into account the usefulness of adopting the SUT 2004 format. </w:t>
      </w:r>
    </w:p>
    <w:p w:rsidR="00281B89" w:rsidRPr="00957164" w:rsidRDefault="00281B89" w:rsidP="00281B89">
      <w:pPr>
        <w:bidi w:val="0"/>
        <w:rPr>
          <w:b/>
          <w:bCs/>
          <w:lang w:val="en-GB"/>
        </w:rPr>
      </w:pPr>
    </w:p>
    <w:p w:rsidR="00461B79" w:rsidRPr="00AA7F05" w:rsidRDefault="007E685A" w:rsidP="00CE2506">
      <w:pPr>
        <w:bidi w:val="0"/>
        <w:jc w:val="lowKashida"/>
        <w:rPr>
          <w:b/>
          <w:bCs/>
        </w:rPr>
      </w:pPr>
      <w:r w:rsidRPr="00AA7F05">
        <w:rPr>
          <w:b/>
          <w:bCs/>
        </w:rPr>
        <w:t>2</w:t>
      </w:r>
      <w:r w:rsidR="00650DD6" w:rsidRPr="00AA7F05">
        <w:rPr>
          <w:b/>
          <w:bCs/>
        </w:rPr>
        <w:t>.2</w:t>
      </w:r>
      <w:r w:rsidR="00461B79" w:rsidRPr="00AA7F05">
        <w:rPr>
          <w:b/>
          <w:bCs/>
        </w:rPr>
        <w:t xml:space="preserve"> Institutional National Accounts</w:t>
      </w:r>
      <w:r w:rsidR="00E64993" w:rsidRPr="00AA7F05">
        <w:rPr>
          <w:b/>
          <w:bCs/>
        </w:rPr>
        <w:t xml:space="preserve"> Methodology</w:t>
      </w:r>
    </w:p>
    <w:p w:rsidR="00461B79" w:rsidRPr="00AA7F05" w:rsidRDefault="00461B79" w:rsidP="00EA7CBB">
      <w:pPr>
        <w:bidi w:val="0"/>
        <w:jc w:val="lowKashida"/>
        <w:rPr>
          <w:lang w:val="en-GB"/>
        </w:rPr>
      </w:pPr>
      <w:r w:rsidRPr="00AA7F05">
        <w:rPr>
          <w:lang w:val="en-GB"/>
        </w:rPr>
        <w:t xml:space="preserve">The methodology for compiling </w:t>
      </w:r>
      <w:r w:rsidR="00AC29F9" w:rsidRPr="00AA7F05">
        <w:rPr>
          <w:lang w:val="en-GB"/>
        </w:rPr>
        <w:t>I</w:t>
      </w:r>
      <w:r w:rsidRPr="00AA7F05">
        <w:rPr>
          <w:lang w:val="en-GB"/>
        </w:rPr>
        <w:t xml:space="preserve">nstitutional </w:t>
      </w:r>
      <w:r w:rsidR="00AC29F9" w:rsidRPr="00AA7F05">
        <w:rPr>
          <w:lang w:val="en-GB"/>
        </w:rPr>
        <w:t>N</w:t>
      </w:r>
      <w:r w:rsidRPr="00AA7F05">
        <w:rPr>
          <w:lang w:val="en-GB"/>
        </w:rPr>
        <w:t xml:space="preserve">ational </w:t>
      </w:r>
      <w:r w:rsidR="00AC29F9" w:rsidRPr="00AA7F05">
        <w:rPr>
          <w:lang w:val="en-GB"/>
        </w:rPr>
        <w:t>A</w:t>
      </w:r>
      <w:r w:rsidRPr="00AA7F05">
        <w:rPr>
          <w:lang w:val="en-GB"/>
        </w:rPr>
        <w:t xml:space="preserve">ccounts is based </w:t>
      </w:r>
      <w:r w:rsidR="00527E14" w:rsidRPr="00AA7F05">
        <w:rPr>
          <w:lang w:val="en-GB"/>
        </w:rPr>
        <w:t>primarily</w:t>
      </w:r>
      <w:r w:rsidRPr="00AA7F05">
        <w:rPr>
          <w:lang w:val="en-GB"/>
        </w:rPr>
        <w:t xml:space="preserve"> on </w:t>
      </w:r>
      <w:r w:rsidR="00527E14" w:rsidRPr="00AA7F05">
        <w:rPr>
          <w:lang w:val="en-GB"/>
        </w:rPr>
        <w:t>the</w:t>
      </w:r>
      <w:r w:rsidR="00037F14" w:rsidRPr="00AA7F05">
        <w:rPr>
          <w:lang w:val="en-GB"/>
        </w:rPr>
        <w:t xml:space="preserve"> </w:t>
      </w:r>
      <w:r w:rsidR="00527E14" w:rsidRPr="00AA7F05">
        <w:rPr>
          <w:lang w:val="en-GB"/>
        </w:rPr>
        <w:t>a</w:t>
      </w:r>
      <w:r w:rsidRPr="00AA7F05">
        <w:rPr>
          <w:lang w:val="en-GB"/>
        </w:rPr>
        <w:t xml:space="preserve">nnual </w:t>
      </w:r>
      <w:r w:rsidR="00AC29F9" w:rsidRPr="00AA7F05">
        <w:rPr>
          <w:lang w:val="en-GB"/>
        </w:rPr>
        <w:t>N</w:t>
      </w:r>
      <w:r w:rsidRPr="00AA7F05">
        <w:rPr>
          <w:lang w:val="en-GB"/>
        </w:rPr>
        <w:t xml:space="preserve">ational </w:t>
      </w:r>
      <w:r w:rsidR="00AC29F9" w:rsidRPr="00AA7F05">
        <w:rPr>
          <w:lang w:val="en-GB"/>
        </w:rPr>
        <w:t>A</w:t>
      </w:r>
      <w:r w:rsidRPr="00AA7F05">
        <w:rPr>
          <w:lang w:val="en-GB"/>
        </w:rPr>
        <w:t xml:space="preserve">ccounts. Therefore, the results of this report for </w:t>
      </w:r>
      <w:r w:rsidR="00AC29F9" w:rsidRPr="00AA7F05">
        <w:rPr>
          <w:lang w:val="en-GB"/>
        </w:rPr>
        <w:t>I</w:t>
      </w:r>
      <w:r w:rsidRPr="00AA7F05">
        <w:rPr>
          <w:lang w:val="en-GB"/>
        </w:rPr>
        <w:t xml:space="preserve">nstitutional </w:t>
      </w:r>
      <w:r w:rsidR="00AC29F9" w:rsidRPr="00AA7F05">
        <w:rPr>
          <w:lang w:val="en-GB"/>
        </w:rPr>
        <w:t>A</w:t>
      </w:r>
      <w:r w:rsidRPr="00AA7F05">
        <w:rPr>
          <w:lang w:val="en-GB"/>
        </w:rPr>
        <w:t xml:space="preserve">ccounts </w:t>
      </w:r>
      <w:r w:rsidR="00921404" w:rsidRPr="00AA7F05">
        <w:rPr>
          <w:lang w:val="en-GB"/>
        </w:rPr>
        <w:t>are based</w:t>
      </w:r>
      <w:r w:rsidRPr="00AA7F05">
        <w:rPr>
          <w:lang w:val="en-GB"/>
        </w:rPr>
        <w:t xml:space="preserve"> on </w:t>
      </w:r>
      <w:r w:rsidR="00527E14" w:rsidRPr="00AA7F05">
        <w:rPr>
          <w:lang w:val="en-GB"/>
        </w:rPr>
        <w:t>the</w:t>
      </w:r>
      <w:r w:rsidRPr="00AA7F05">
        <w:rPr>
          <w:lang w:val="en-GB"/>
        </w:rPr>
        <w:t xml:space="preserve"> annual </w:t>
      </w:r>
      <w:r w:rsidR="00AC29F9" w:rsidRPr="00AA7F05">
        <w:rPr>
          <w:lang w:val="en-GB"/>
        </w:rPr>
        <w:t>N</w:t>
      </w:r>
      <w:r w:rsidRPr="00AA7F05">
        <w:rPr>
          <w:lang w:val="en-GB"/>
        </w:rPr>
        <w:t xml:space="preserve">ational </w:t>
      </w:r>
      <w:r w:rsidR="00AC29F9" w:rsidRPr="00AA7F05">
        <w:rPr>
          <w:lang w:val="en-GB"/>
        </w:rPr>
        <w:t>A</w:t>
      </w:r>
      <w:r w:rsidRPr="00AA7F05">
        <w:rPr>
          <w:lang w:val="en-GB"/>
        </w:rPr>
        <w:t>ccounts for</w:t>
      </w:r>
      <w:r w:rsidR="00EA7CBB" w:rsidRPr="00AA7F05">
        <w:rPr>
          <w:lang w:val="en-GB"/>
        </w:rPr>
        <w:t xml:space="preserve"> 2012</w:t>
      </w:r>
      <w:r w:rsidR="009062A9" w:rsidRPr="00AA7F05">
        <w:rPr>
          <w:lang w:val="en-GB"/>
        </w:rPr>
        <w:t xml:space="preserve"> and</w:t>
      </w:r>
      <w:r w:rsidR="00EA7CBB" w:rsidRPr="00AA7F05">
        <w:rPr>
          <w:lang w:val="en-GB"/>
        </w:rPr>
        <w:t xml:space="preserve"> </w:t>
      </w:r>
      <w:r w:rsidR="00F760CE" w:rsidRPr="00AA7F05">
        <w:rPr>
          <w:lang w:val="en-GB"/>
        </w:rPr>
        <w:t>2013</w:t>
      </w:r>
      <w:r w:rsidR="009062A9" w:rsidRPr="00AA7F05">
        <w:rPr>
          <w:lang w:val="en-GB"/>
        </w:rPr>
        <w:t>,</w:t>
      </w:r>
      <w:r w:rsidR="00CE2506" w:rsidRPr="00AA7F05">
        <w:rPr>
          <w:lang w:val="en-GB"/>
        </w:rPr>
        <w:t xml:space="preserve"> </w:t>
      </w:r>
      <w:r w:rsidR="00EA7CBB" w:rsidRPr="00AA7F05">
        <w:rPr>
          <w:lang w:val="en-GB"/>
        </w:rPr>
        <w:t xml:space="preserve">and </w:t>
      </w:r>
      <w:r w:rsidR="006C4652" w:rsidRPr="00AA7F05">
        <w:rPr>
          <w:lang w:val="en-GB"/>
        </w:rPr>
        <w:t xml:space="preserve">the </w:t>
      </w:r>
      <w:r w:rsidR="00EA7CBB" w:rsidRPr="00AA7F05">
        <w:rPr>
          <w:lang w:val="en-GB"/>
        </w:rPr>
        <w:t>classif</w:t>
      </w:r>
      <w:r w:rsidR="006C4652" w:rsidRPr="00AA7F05">
        <w:rPr>
          <w:lang w:val="en-GB"/>
        </w:rPr>
        <w:t>ication of</w:t>
      </w:r>
      <w:r w:rsidR="00EA7CBB" w:rsidRPr="00AA7F05">
        <w:rPr>
          <w:lang w:val="en-GB"/>
        </w:rPr>
        <w:t xml:space="preserve"> data sources according to the institutional sector</w:t>
      </w:r>
      <w:r w:rsidRPr="00AA7F05">
        <w:rPr>
          <w:lang w:val="en-GB"/>
        </w:rPr>
        <w:t xml:space="preserve"> based on the </w:t>
      </w:r>
      <w:r w:rsidR="009062A9" w:rsidRPr="00AA7F05">
        <w:rPr>
          <w:lang w:val="en-GB"/>
        </w:rPr>
        <w:t xml:space="preserve">SNA </w:t>
      </w:r>
      <w:r w:rsidRPr="00AA7F05">
        <w:rPr>
          <w:lang w:val="en-GB"/>
        </w:rPr>
        <w:t>recommendations.</w:t>
      </w:r>
    </w:p>
    <w:p w:rsidR="00461B79" w:rsidRPr="00957164" w:rsidRDefault="00461B79" w:rsidP="00461B79">
      <w:pPr>
        <w:bidi w:val="0"/>
        <w:jc w:val="lowKashida"/>
        <w:rPr>
          <w:sz w:val="16"/>
          <w:szCs w:val="16"/>
        </w:rPr>
      </w:pPr>
    </w:p>
    <w:p w:rsidR="00461B79" w:rsidRPr="00AA7F05" w:rsidRDefault="00461B79" w:rsidP="00461B79">
      <w:pPr>
        <w:bidi w:val="0"/>
        <w:jc w:val="lowKashida"/>
        <w:rPr>
          <w:lang w:val="en-GB"/>
        </w:rPr>
      </w:pPr>
      <w:r w:rsidRPr="00AA7F05">
        <w:rPr>
          <w:lang w:val="en-GB"/>
        </w:rPr>
        <w:t>Two approaches were used to compil</w:t>
      </w:r>
      <w:r w:rsidR="001C3D7A" w:rsidRPr="00AA7F05">
        <w:rPr>
          <w:lang w:val="en-GB"/>
        </w:rPr>
        <w:t>e</w:t>
      </w:r>
      <w:r w:rsidRPr="00AA7F05">
        <w:rPr>
          <w:lang w:val="en-GB"/>
        </w:rPr>
        <w:t xml:space="preserve"> </w:t>
      </w:r>
      <w:r w:rsidR="00AC29F9" w:rsidRPr="00AA7F05">
        <w:rPr>
          <w:lang w:val="en-GB"/>
        </w:rPr>
        <w:t>I</w:t>
      </w:r>
      <w:r w:rsidRPr="00AA7F05">
        <w:rPr>
          <w:lang w:val="en-GB"/>
        </w:rPr>
        <w:t xml:space="preserve">nstitutional </w:t>
      </w:r>
      <w:r w:rsidR="00AC29F9" w:rsidRPr="00AA7F05">
        <w:rPr>
          <w:lang w:val="en-GB"/>
        </w:rPr>
        <w:t>N</w:t>
      </w:r>
      <w:r w:rsidRPr="00AA7F05">
        <w:rPr>
          <w:lang w:val="en-GB"/>
        </w:rPr>
        <w:t xml:space="preserve">ational </w:t>
      </w:r>
      <w:r w:rsidR="00AC29F9" w:rsidRPr="00AA7F05">
        <w:rPr>
          <w:lang w:val="en-GB"/>
        </w:rPr>
        <w:t>A</w:t>
      </w:r>
      <w:r w:rsidRPr="00AA7F05">
        <w:rPr>
          <w:lang w:val="en-GB"/>
        </w:rPr>
        <w:t>ccounts based on sources of data and their particularity.</w:t>
      </w:r>
    </w:p>
    <w:p w:rsidR="00461B79" w:rsidRPr="00957164" w:rsidRDefault="00461B79" w:rsidP="00461B79">
      <w:pPr>
        <w:bidi w:val="0"/>
        <w:jc w:val="lowKashida"/>
        <w:rPr>
          <w:sz w:val="20"/>
          <w:szCs w:val="20"/>
          <w:lang w:val="en-GB"/>
        </w:rPr>
      </w:pPr>
    </w:p>
    <w:p w:rsidR="00461B79" w:rsidRPr="00AA7F05" w:rsidRDefault="00461B79" w:rsidP="00461B79">
      <w:pPr>
        <w:bidi w:val="0"/>
        <w:jc w:val="lowKashida"/>
        <w:rPr>
          <w:b/>
          <w:bCs/>
          <w:lang w:val="en-GB"/>
        </w:rPr>
      </w:pPr>
      <w:r w:rsidRPr="00AA7F05">
        <w:rPr>
          <w:b/>
          <w:bCs/>
          <w:lang w:val="en-GB"/>
        </w:rPr>
        <w:t xml:space="preserve">First </w:t>
      </w:r>
      <w:r w:rsidR="00037F14" w:rsidRPr="00AA7F05">
        <w:rPr>
          <w:b/>
          <w:bCs/>
          <w:lang w:val="en-GB"/>
        </w:rPr>
        <w:t>A</w:t>
      </w:r>
      <w:r w:rsidRPr="00AA7F05">
        <w:rPr>
          <w:b/>
          <w:bCs/>
          <w:lang w:val="en-GB"/>
        </w:rPr>
        <w:t>pproach:</w:t>
      </w:r>
    </w:p>
    <w:p w:rsidR="00461B79" w:rsidRPr="00AA7F05" w:rsidRDefault="00461B79" w:rsidP="00E84C77">
      <w:pPr>
        <w:bidi w:val="0"/>
        <w:jc w:val="lowKashida"/>
        <w:rPr>
          <w:lang w:val="en-GB"/>
        </w:rPr>
      </w:pPr>
      <w:r w:rsidRPr="00AA7F05">
        <w:rPr>
          <w:lang w:val="en-GB"/>
        </w:rPr>
        <w:t xml:space="preserve">Agriculture and Fishing: </w:t>
      </w:r>
      <w:r w:rsidRPr="00AA7F05">
        <w:rPr>
          <w:lang w:val="en-GB"/>
        </w:rPr>
        <w:tab/>
      </w:r>
      <w:r w:rsidRPr="00AA7F05">
        <w:rPr>
          <w:lang w:val="en-GB"/>
        </w:rPr>
        <w:tab/>
      </w:r>
      <w:r w:rsidR="00E84C77" w:rsidRPr="00AA7F05">
        <w:rPr>
          <w:lang w:val="en-GB"/>
        </w:rPr>
        <w:t xml:space="preserve">     </w:t>
      </w:r>
      <w:r w:rsidRPr="00AA7F05">
        <w:rPr>
          <w:lang w:val="en-GB"/>
        </w:rPr>
        <w:t xml:space="preserve">Classified as </w:t>
      </w:r>
      <w:r w:rsidR="00BC4612" w:rsidRPr="00AA7F05">
        <w:rPr>
          <w:lang w:val="en-GB"/>
        </w:rPr>
        <w:t>h</w:t>
      </w:r>
      <w:r w:rsidRPr="00AA7F05">
        <w:rPr>
          <w:lang w:val="en-GB"/>
        </w:rPr>
        <w:t>ousehold sector.</w:t>
      </w:r>
    </w:p>
    <w:p w:rsidR="00461B79" w:rsidRPr="00AA7F05" w:rsidRDefault="00461B79" w:rsidP="00EA7CBB">
      <w:pPr>
        <w:bidi w:val="0"/>
        <w:jc w:val="lowKashida"/>
        <w:rPr>
          <w:lang w:val="en-GB"/>
        </w:rPr>
      </w:pPr>
      <w:r w:rsidRPr="00AA7F05">
        <w:rPr>
          <w:lang w:val="en-GB"/>
        </w:rPr>
        <w:t xml:space="preserve">Financial Intermediation: </w:t>
      </w:r>
      <w:r w:rsidRPr="00AA7F05">
        <w:rPr>
          <w:lang w:val="en-GB"/>
        </w:rPr>
        <w:tab/>
      </w:r>
      <w:r w:rsidRPr="00AA7F05">
        <w:rPr>
          <w:lang w:val="en-GB"/>
        </w:rPr>
        <w:tab/>
      </w:r>
      <w:r w:rsidR="00E84C77" w:rsidRPr="00AA7F05">
        <w:rPr>
          <w:lang w:val="en-GB"/>
        </w:rPr>
        <w:t xml:space="preserve">     </w:t>
      </w:r>
      <w:r w:rsidRPr="00AA7F05">
        <w:rPr>
          <w:lang w:val="en-GB"/>
        </w:rPr>
        <w:t xml:space="preserve">Financial </w:t>
      </w:r>
      <w:r w:rsidR="00EA7CBB" w:rsidRPr="00AA7F05">
        <w:rPr>
          <w:lang w:val="en-GB"/>
        </w:rPr>
        <w:t>enterprises</w:t>
      </w:r>
      <w:r w:rsidRPr="00AA7F05">
        <w:rPr>
          <w:lang w:val="en-GB"/>
        </w:rPr>
        <w:t xml:space="preserve"> </w:t>
      </w:r>
      <w:r w:rsidR="00BC4612" w:rsidRPr="00AA7F05">
        <w:rPr>
          <w:lang w:val="en-GB"/>
        </w:rPr>
        <w:t>s</w:t>
      </w:r>
      <w:r w:rsidRPr="00AA7F05">
        <w:rPr>
          <w:lang w:val="en-GB"/>
        </w:rPr>
        <w:t>ector.</w:t>
      </w:r>
    </w:p>
    <w:p w:rsidR="00461B79" w:rsidRPr="00AA7F05" w:rsidRDefault="00461B79" w:rsidP="00461B79">
      <w:pPr>
        <w:bidi w:val="0"/>
        <w:jc w:val="lowKashida"/>
        <w:rPr>
          <w:lang w:val="en-GB"/>
        </w:rPr>
      </w:pPr>
      <w:r w:rsidRPr="00AA7F05">
        <w:rPr>
          <w:lang w:val="en-GB"/>
        </w:rPr>
        <w:t xml:space="preserve">Public Administration and </w:t>
      </w:r>
      <w:proofErr w:type="spellStart"/>
      <w:r w:rsidRPr="00AA7F05">
        <w:rPr>
          <w:lang w:val="en-GB"/>
        </w:rPr>
        <w:t>Defen</w:t>
      </w:r>
      <w:r w:rsidR="00BC4612" w:rsidRPr="00AA7F05">
        <w:rPr>
          <w:lang w:val="en-GB"/>
        </w:rPr>
        <w:t>s</w:t>
      </w:r>
      <w:r w:rsidRPr="00AA7F05">
        <w:rPr>
          <w:lang w:val="en-GB"/>
        </w:rPr>
        <w:t>e</w:t>
      </w:r>
      <w:proofErr w:type="spellEnd"/>
      <w:r w:rsidRPr="00AA7F05">
        <w:rPr>
          <w:lang w:val="en-GB"/>
        </w:rPr>
        <w:t xml:space="preserve">:       Government </w:t>
      </w:r>
      <w:r w:rsidR="00BC4612" w:rsidRPr="00AA7F05">
        <w:rPr>
          <w:lang w:val="en-GB"/>
        </w:rPr>
        <w:t>s</w:t>
      </w:r>
      <w:r w:rsidRPr="00AA7F05">
        <w:rPr>
          <w:lang w:val="en-GB"/>
        </w:rPr>
        <w:t>ector.</w:t>
      </w:r>
    </w:p>
    <w:p w:rsidR="00461B79" w:rsidRPr="00AA7F05" w:rsidRDefault="00461B79" w:rsidP="00461B79">
      <w:pPr>
        <w:bidi w:val="0"/>
        <w:jc w:val="lowKashida"/>
        <w:rPr>
          <w:lang w:val="en-GB"/>
        </w:rPr>
      </w:pPr>
      <w:r w:rsidRPr="00AA7F05">
        <w:rPr>
          <w:lang w:val="en-GB"/>
        </w:rPr>
        <w:t xml:space="preserve">Household Services: </w:t>
      </w:r>
      <w:r w:rsidRPr="00AA7F05">
        <w:rPr>
          <w:lang w:val="en-GB"/>
        </w:rPr>
        <w:tab/>
      </w:r>
      <w:r w:rsidRPr="00AA7F05">
        <w:rPr>
          <w:lang w:val="en-GB"/>
        </w:rPr>
        <w:tab/>
      </w:r>
      <w:r w:rsidRPr="00AA7F05">
        <w:rPr>
          <w:lang w:val="en-GB"/>
        </w:rPr>
        <w:tab/>
      </w:r>
      <w:r w:rsidR="00E84C77" w:rsidRPr="00AA7F05">
        <w:rPr>
          <w:lang w:val="en-GB"/>
        </w:rPr>
        <w:t xml:space="preserve">     </w:t>
      </w:r>
      <w:r w:rsidRPr="00AA7F05">
        <w:rPr>
          <w:lang w:val="en-GB"/>
        </w:rPr>
        <w:t xml:space="preserve">Household </w:t>
      </w:r>
      <w:r w:rsidR="00BC4612" w:rsidRPr="00AA7F05">
        <w:rPr>
          <w:lang w:val="en-GB"/>
        </w:rPr>
        <w:t>s</w:t>
      </w:r>
      <w:r w:rsidRPr="00AA7F05">
        <w:rPr>
          <w:lang w:val="en-GB"/>
        </w:rPr>
        <w:t>ector.</w:t>
      </w:r>
    </w:p>
    <w:p w:rsidR="00AA7F05" w:rsidRPr="00957164" w:rsidRDefault="00AA7F05" w:rsidP="00C22DB9">
      <w:pPr>
        <w:bidi w:val="0"/>
        <w:jc w:val="lowKashida"/>
        <w:rPr>
          <w:b/>
          <w:bCs/>
          <w:sz w:val="20"/>
          <w:szCs w:val="20"/>
          <w:lang w:val="en-GB"/>
        </w:rPr>
      </w:pPr>
    </w:p>
    <w:p w:rsidR="00461B79" w:rsidRPr="00AA7F05" w:rsidRDefault="00461B79" w:rsidP="00AA7F05">
      <w:pPr>
        <w:bidi w:val="0"/>
        <w:jc w:val="lowKashida"/>
        <w:rPr>
          <w:b/>
          <w:bCs/>
          <w:lang w:val="en-GB"/>
        </w:rPr>
      </w:pPr>
      <w:r w:rsidRPr="00AA7F05">
        <w:rPr>
          <w:b/>
          <w:bCs/>
          <w:lang w:val="en-GB"/>
        </w:rPr>
        <w:t>Second Approach:</w:t>
      </w:r>
    </w:p>
    <w:p w:rsidR="00461B79" w:rsidRPr="00AA7F05" w:rsidRDefault="00D63A14" w:rsidP="00995606">
      <w:pPr>
        <w:bidi w:val="0"/>
        <w:jc w:val="lowKashida"/>
        <w:rPr>
          <w:lang w:val="en-GB"/>
        </w:rPr>
      </w:pPr>
      <w:r w:rsidRPr="00AA7F05">
        <w:rPr>
          <w:lang w:val="en-GB"/>
        </w:rPr>
        <w:t>This</w:t>
      </w:r>
      <w:r w:rsidR="00461B79" w:rsidRPr="00AA7F05">
        <w:rPr>
          <w:lang w:val="en-GB"/>
        </w:rPr>
        <w:t xml:space="preserve"> consists of all activities where data are collected from economic surveys and classified by institutional sector</w:t>
      </w:r>
      <w:r w:rsidR="00B33583" w:rsidRPr="00AA7F05">
        <w:rPr>
          <w:lang w:val="en-GB"/>
        </w:rPr>
        <w:t>,</w:t>
      </w:r>
      <w:r w:rsidR="00461B79" w:rsidRPr="00AA7F05">
        <w:rPr>
          <w:lang w:val="en-GB"/>
        </w:rPr>
        <w:t xml:space="preserve"> based on</w:t>
      </w:r>
      <w:r w:rsidR="00EA7CBB" w:rsidRPr="00AA7F05">
        <w:rPr>
          <w:lang w:val="en-GB"/>
        </w:rPr>
        <w:t xml:space="preserve"> different indicators for the institutional unit</w:t>
      </w:r>
      <w:r w:rsidR="00B33583" w:rsidRPr="00AA7F05">
        <w:rPr>
          <w:lang w:val="en-GB"/>
        </w:rPr>
        <w:t>,</w:t>
      </w:r>
      <w:r w:rsidR="00EA7CBB" w:rsidRPr="00AA7F05">
        <w:rPr>
          <w:lang w:val="en-GB"/>
        </w:rPr>
        <w:t xml:space="preserve"> mainly</w:t>
      </w:r>
      <w:r w:rsidR="00461B79" w:rsidRPr="00AA7F05">
        <w:rPr>
          <w:lang w:val="en-GB"/>
        </w:rPr>
        <w:t xml:space="preserve"> legal </w:t>
      </w:r>
      <w:r w:rsidR="00461B79" w:rsidRPr="00AA7F05">
        <w:rPr>
          <w:lang w:val="en-GB"/>
        </w:rPr>
        <w:lastRenderedPageBreak/>
        <w:t>entities</w:t>
      </w:r>
      <w:r w:rsidR="00EA7CBB" w:rsidRPr="00AA7F05">
        <w:rPr>
          <w:lang w:val="en-GB"/>
        </w:rPr>
        <w:t>, economic organization and annual budgets</w:t>
      </w:r>
      <w:r w:rsidR="00461B79" w:rsidRPr="00AA7F05">
        <w:rPr>
          <w:lang w:val="en-GB"/>
        </w:rPr>
        <w:t xml:space="preserve">. A percentage contribution </w:t>
      </w:r>
      <w:r w:rsidR="001C3D7A" w:rsidRPr="00AA7F05">
        <w:rPr>
          <w:lang w:val="en-GB"/>
        </w:rPr>
        <w:t>of</w:t>
      </w:r>
      <w:r w:rsidR="00461B79" w:rsidRPr="00AA7F05">
        <w:rPr>
          <w:lang w:val="en-GB"/>
        </w:rPr>
        <w:t xml:space="preserve"> each sector was used as a basis for distributing the data for each sector.</w:t>
      </w:r>
    </w:p>
    <w:p w:rsidR="00461B79" w:rsidRPr="00957164" w:rsidRDefault="00461B79" w:rsidP="00461B79">
      <w:pPr>
        <w:bidi w:val="0"/>
        <w:jc w:val="center"/>
        <w:rPr>
          <w:b/>
          <w:bCs/>
        </w:rPr>
      </w:pPr>
    </w:p>
    <w:p w:rsidR="00461B79" w:rsidRPr="00AA7F05" w:rsidRDefault="0097260F" w:rsidP="00CE2506">
      <w:pPr>
        <w:pStyle w:val="Heading2"/>
        <w:jc w:val="left"/>
        <w:rPr>
          <w:sz w:val="24"/>
          <w:szCs w:val="24"/>
        </w:rPr>
      </w:pPr>
      <w:r w:rsidRPr="00AA7F05">
        <w:rPr>
          <w:sz w:val="24"/>
          <w:szCs w:val="24"/>
        </w:rPr>
        <w:t>2.</w:t>
      </w:r>
      <w:r w:rsidR="00CE2506" w:rsidRPr="00AA7F05">
        <w:rPr>
          <w:sz w:val="24"/>
          <w:szCs w:val="24"/>
        </w:rPr>
        <w:t>3</w:t>
      </w:r>
      <w:r w:rsidRPr="00AA7F05">
        <w:rPr>
          <w:sz w:val="24"/>
          <w:szCs w:val="24"/>
        </w:rPr>
        <w:t xml:space="preserve"> </w:t>
      </w:r>
      <w:r w:rsidR="00461B79" w:rsidRPr="00AA7F05">
        <w:rPr>
          <w:sz w:val="24"/>
          <w:szCs w:val="24"/>
        </w:rPr>
        <w:t>Data Quality</w:t>
      </w:r>
    </w:p>
    <w:p w:rsidR="00461B79" w:rsidRPr="00AA7F05" w:rsidRDefault="00461B79" w:rsidP="00461B79">
      <w:pPr>
        <w:bidi w:val="0"/>
        <w:jc w:val="lowKashida"/>
      </w:pPr>
      <w:r w:rsidRPr="00AA7F05">
        <w:t>SNA</w:t>
      </w:r>
      <w:r w:rsidR="007B3BF7" w:rsidRPr="00AA7F05">
        <w:t>-</w:t>
      </w:r>
      <w:r w:rsidRPr="00AA7F05">
        <w:t xml:space="preserve">1993 </w:t>
      </w:r>
      <w:r w:rsidR="00037F14" w:rsidRPr="00AA7F05">
        <w:t xml:space="preserve">was </w:t>
      </w:r>
      <w:r w:rsidRPr="00AA7F05">
        <w:t xml:space="preserve">adopted as a reference for </w:t>
      </w:r>
      <w:r w:rsidR="007B3BF7" w:rsidRPr="00AA7F05">
        <w:t>the</w:t>
      </w:r>
      <w:r w:rsidRPr="00AA7F05">
        <w:t xml:space="preserve"> prepar</w:t>
      </w:r>
      <w:r w:rsidR="007B3BF7" w:rsidRPr="00AA7F05">
        <w:t xml:space="preserve">ation of the </w:t>
      </w:r>
      <w:r w:rsidR="00D63A14" w:rsidRPr="00AA7F05">
        <w:t>N</w:t>
      </w:r>
      <w:r w:rsidRPr="00AA7F05">
        <w:t xml:space="preserve">ational </w:t>
      </w:r>
      <w:r w:rsidR="00D63A14" w:rsidRPr="00AA7F05">
        <w:t>A</w:t>
      </w:r>
      <w:r w:rsidRPr="00AA7F05">
        <w:t xml:space="preserve">ccounts </w:t>
      </w:r>
      <w:r w:rsidR="00EA041E" w:rsidRPr="00AA7F05">
        <w:t>since</w:t>
      </w:r>
      <w:r w:rsidRPr="00AA7F05">
        <w:t xml:space="preserve"> the establishment of the Palestinian Central Bureau of Statistics. Therefore</w:t>
      </w:r>
      <w:r w:rsidR="00473834" w:rsidRPr="00AA7F05">
        <w:t>,</w:t>
      </w:r>
      <w:r w:rsidRPr="00AA7F05">
        <w:t xml:space="preserve"> the preparation of Palestinian </w:t>
      </w:r>
      <w:r w:rsidR="00D63A14" w:rsidRPr="00AA7F05">
        <w:t>N</w:t>
      </w:r>
      <w:r w:rsidRPr="00AA7F05">
        <w:t xml:space="preserve">ational </w:t>
      </w:r>
      <w:r w:rsidR="00D63A14" w:rsidRPr="00AA7F05">
        <w:t>A</w:t>
      </w:r>
      <w:r w:rsidRPr="00AA7F05">
        <w:t xml:space="preserve">ccounts did not </w:t>
      </w:r>
      <w:r w:rsidR="006A77B6" w:rsidRPr="00AA7F05">
        <w:t>undergo</w:t>
      </w:r>
      <w:r w:rsidRPr="00AA7F05">
        <w:t xml:space="preserve"> a transition</w:t>
      </w:r>
      <w:r w:rsidR="00473834" w:rsidRPr="00AA7F05">
        <w:t>al</w:t>
      </w:r>
      <w:r w:rsidRPr="00AA7F05">
        <w:t xml:space="preserve"> process from the SNA</w:t>
      </w:r>
      <w:r w:rsidR="006A77B6" w:rsidRPr="00AA7F05">
        <w:t>-</w:t>
      </w:r>
      <w:r w:rsidRPr="00AA7F05">
        <w:t>1968.  SNA</w:t>
      </w:r>
      <w:r w:rsidR="006A77B6" w:rsidRPr="00AA7F05">
        <w:t>-</w:t>
      </w:r>
      <w:r w:rsidRPr="00AA7F05">
        <w:t xml:space="preserve">1993 is the </w:t>
      </w:r>
      <w:r w:rsidR="00D63A14" w:rsidRPr="00AA7F05">
        <w:t>most recent</w:t>
      </w:r>
      <w:r w:rsidRPr="00AA7F05">
        <w:t xml:space="preserve"> basic and internationally agreed standard for prepar</w:t>
      </w:r>
      <w:r w:rsidR="00473834" w:rsidRPr="00AA7F05">
        <w:t xml:space="preserve">ing </w:t>
      </w:r>
      <w:r w:rsidRPr="00AA7F05">
        <w:t>accounts that are inter</w:t>
      </w:r>
      <w:r w:rsidR="00D63A14" w:rsidRPr="00AA7F05">
        <w:t>-</w:t>
      </w:r>
      <w:r w:rsidRPr="00AA7F05">
        <w:t xml:space="preserve">related and </w:t>
      </w:r>
      <w:r w:rsidR="00D63A14" w:rsidRPr="00AA7F05">
        <w:t xml:space="preserve">for ensuring </w:t>
      </w:r>
      <w:r w:rsidRPr="00AA7F05">
        <w:t>consisten</w:t>
      </w:r>
      <w:r w:rsidR="00D63A14" w:rsidRPr="00AA7F05">
        <w:t>cy</w:t>
      </w:r>
      <w:r w:rsidRPr="00AA7F05">
        <w:t xml:space="preserve"> for macroeconomic analysis. It provides concepts, definitions and classifications in the context of integrated accounting designed to provide data necessary for decision-taking, policy-making and economic analysis.</w:t>
      </w:r>
    </w:p>
    <w:p w:rsidR="00461B79" w:rsidRPr="00957164" w:rsidRDefault="00461B79" w:rsidP="00461B79">
      <w:pPr>
        <w:bidi w:val="0"/>
        <w:jc w:val="lowKashida"/>
      </w:pPr>
    </w:p>
    <w:p w:rsidR="00461B79" w:rsidRPr="00AA7F05" w:rsidRDefault="0097260F" w:rsidP="00CE2506">
      <w:pPr>
        <w:bidi w:val="0"/>
        <w:jc w:val="lowKashida"/>
        <w:rPr>
          <w:b/>
          <w:bCs/>
        </w:rPr>
      </w:pPr>
      <w:r w:rsidRPr="00AA7F05">
        <w:rPr>
          <w:b/>
          <w:bCs/>
        </w:rPr>
        <w:t>2.</w:t>
      </w:r>
      <w:r w:rsidR="00CE2506" w:rsidRPr="00AA7F05">
        <w:rPr>
          <w:b/>
          <w:bCs/>
        </w:rPr>
        <w:t>3</w:t>
      </w:r>
      <w:r w:rsidR="00461B79" w:rsidRPr="00AA7F05">
        <w:rPr>
          <w:b/>
          <w:bCs/>
        </w:rPr>
        <w:t xml:space="preserve">.1 Data </w:t>
      </w:r>
      <w:r w:rsidR="00CE2506" w:rsidRPr="00AA7F05">
        <w:rPr>
          <w:b/>
          <w:bCs/>
        </w:rPr>
        <w:t>Coverage</w:t>
      </w:r>
    </w:p>
    <w:p w:rsidR="00461B79" w:rsidRPr="00AA7F05" w:rsidRDefault="00461B79" w:rsidP="00461B79">
      <w:pPr>
        <w:bidi w:val="0"/>
        <w:jc w:val="lowKashida"/>
      </w:pPr>
      <w:r w:rsidRPr="00AA7F05">
        <w:t xml:space="preserve">Several procedures were adopted to ensure data quality and coverage in </w:t>
      </w:r>
      <w:r w:rsidR="00D63A14" w:rsidRPr="00AA7F05">
        <w:t>N</w:t>
      </w:r>
      <w:r w:rsidRPr="00AA7F05">
        <w:t xml:space="preserve">ational </w:t>
      </w:r>
      <w:r w:rsidR="00D63A14" w:rsidRPr="00AA7F05">
        <w:t>A</w:t>
      </w:r>
      <w:r w:rsidRPr="00AA7F05">
        <w:t xml:space="preserve">ccounts </w:t>
      </w:r>
      <w:r w:rsidR="006A77B6" w:rsidRPr="00AA7F05">
        <w:t>d</w:t>
      </w:r>
      <w:r w:rsidRPr="00AA7F05">
        <w:t>ata</w:t>
      </w:r>
      <w:r w:rsidR="006A77B6" w:rsidRPr="00AA7F05">
        <w:t>,</w:t>
      </w:r>
      <w:r w:rsidRPr="00AA7F05">
        <w:t xml:space="preserve"> summarized in the following:</w:t>
      </w:r>
    </w:p>
    <w:p w:rsidR="00461B79" w:rsidRPr="00AA7F05" w:rsidRDefault="00461B79" w:rsidP="00461B79">
      <w:pPr>
        <w:numPr>
          <w:ilvl w:val="0"/>
          <w:numId w:val="8"/>
        </w:numPr>
        <w:bidi w:val="0"/>
        <w:ind w:right="0"/>
        <w:jc w:val="lowKashida"/>
      </w:pPr>
      <w:r w:rsidRPr="00AA7F05">
        <w:t>Compil</w:t>
      </w:r>
      <w:r w:rsidR="006A77B6" w:rsidRPr="00AA7F05">
        <w:t>ation of</w:t>
      </w:r>
      <w:r w:rsidRPr="00AA7F05">
        <w:t xml:space="preserve"> economic surveys covering all activities except agriculture.</w:t>
      </w:r>
    </w:p>
    <w:p w:rsidR="00461B79" w:rsidRPr="00AA7F05" w:rsidRDefault="00461B79" w:rsidP="00461B79">
      <w:pPr>
        <w:numPr>
          <w:ilvl w:val="0"/>
          <w:numId w:val="8"/>
        </w:numPr>
        <w:bidi w:val="0"/>
        <w:ind w:right="0"/>
        <w:jc w:val="lowKashida"/>
      </w:pPr>
      <w:r w:rsidRPr="00AA7F05">
        <w:t>Compil</w:t>
      </w:r>
      <w:r w:rsidR="006A77B6" w:rsidRPr="00AA7F05">
        <w:t xml:space="preserve">ation of </w:t>
      </w:r>
      <w:r w:rsidRPr="00AA7F05">
        <w:t>economic surveys covering the informal sector in construction and transport</w:t>
      </w:r>
      <w:r w:rsidR="00B33583" w:rsidRPr="00AA7F05">
        <w:t>ation</w:t>
      </w:r>
      <w:r w:rsidRPr="00AA7F05">
        <w:t xml:space="preserve"> activities.</w:t>
      </w:r>
    </w:p>
    <w:p w:rsidR="00461B79" w:rsidRPr="00AA7F05" w:rsidRDefault="006A77B6" w:rsidP="00461B79">
      <w:pPr>
        <w:numPr>
          <w:ilvl w:val="0"/>
          <w:numId w:val="8"/>
        </w:numPr>
        <w:bidi w:val="0"/>
        <w:ind w:right="0"/>
        <w:jc w:val="lowKashida"/>
      </w:pPr>
      <w:r w:rsidRPr="00AA7F05">
        <w:t>Use of</w:t>
      </w:r>
      <w:r w:rsidR="00461B79" w:rsidRPr="00AA7F05">
        <w:t xml:space="preserve"> the Population, Housing and Establishment</w:t>
      </w:r>
      <w:r w:rsidRPr="00AA7F05">
        <w:t>s</w:t>
      </w:r>
      <w:r w:rsidR="00461B79" w:rsidRPr="00AA7F05">
        <w:t xml:space="preserve"> Census 2007 </w:t>
      </w:r>
      <w:r w:rsidRPr="00AA7F05">
        <w:t>to</w:t>
      </w:r>
      <w:r w:rsidR="00461B79" w:rsidRPr="00AA7F05">
        <w:t xml:space="preserve"> </w:t>
      </w:r>
      <w:r w:rsidR="00D63A14" w:rsidRPr="00AA7F05">
        <w:t>calculat</w:t>
      </w:r>
      <w:r w:rsidRPr="00AA7F05">
        <w:t>e</w:t>
      </w:r>
      <w:r w:rsidR="00461B79" w:rsidRPr="00AA7F05">
        <w:t xml:space="preserve"> per capita data.</w:t>
      </w:r>
    </w:p>
    <w:p w:rsidR="00461B79" w:rsidRPr="00AA7F05" w:rsidRDefault="00461B79" w:rsidP="00461B79">
      <w:pPr>
        <w:numPr>
          <w:ilvl w:val="0"/>
          <w:numId w:val="8"/>
        </w:numPr>
        <w:bidi w:val="0"/>
        <w:ind w:right="0"/>
        <w:jc w:val="lowKashida"/>
      </w:pPr>
      <w:r w:rsidRPr="00AA7F05">
        <w:t>Compil</w:t>
      </w:r>
      <w:r w:rsidR="006A77B6" w:rsidRPr="00AA7F05">
        <w:t>ation of</w:t>
      </w:r>
      <w:r w:rsidRPr="00AA7F05">
        <w:t xml:space="preserve"> the price deflators </w:t>
      </w:r>
      <w:r w:rsidR="00D63A14" w:rsidRPr="00AA7F05">
        <w:t xml:space="preserve">necessary </w:t>
      </w:r>
      <w:r w:rsidR="006A77B6" w:rsidRPr="00AA7F05">
        <w:t>to</w:t>
      </w:r>
      <w:r w:rsidRPr="00AA7F05">
        <w:t xml:space="preserve"> </w:t>
      </w:r>
      <w:r w:rsidR="00E2367E" w:rsidRPr="00AA7F05">
        <w:t>calculate</w:t>
      </w:r>
      <w:r w:rsidR="006A77B6" w:rsidRPr="00AA7F05">
        <w:t xml:space="preserve"> </w:t>
      </w:r>
      <w:r w:rsidRPr="00AA7F05">
        <w:t>constant prices data.</w:t>
      </w:r>
    </w:p>
    <w:p w:rsidR="00461B79" w:rsidRPr="00AA7F05" w:rsidRDefault="006A77B6" w:rsidP="00461B79">
      <w:pPr>
        <w:numPr>
          <w:ilvl w:val="0"/>
          <w:numId w:val="8"/>
        </w:numPr>
        <w:bidi w:val="0"/>
        <w:ind w:right="0"/>
        <w:jc w:val="lowKashida"/>
      </w:pPr>
      <w:r w:rsidRPr="00AA7F05">
        <w:t>Improved</w:t>
      </w:r>
      <w:r w:rsidR="00461B79" w:rsidRPr="00AA7F05">
        <w:t xml:space="preserve"> data coverage </w:t>
      </w:r>
      <w:r w:rsidR="00D63A14" w:rsidRPr="00AA7F05">
        <w:t>o</w:t>
      </w:r>
      <w:r w:rsidR="00461B79" w:rsidRPr="00AA7F05">
        <w:t>f government data</w:t>
      </w:r>
      <w:r w:rsidRPr="00AA7F05">
        <w:t>,</w:t>
      </w:r>
      <w:r w:rsidR="00461B79" w:rsidRPr="00AA7F05">
        <w:t xml:space="preserve"> especially </w:t>
      </w:r>
      <w:r w:rsidRPr="00AA7F05">
        <w:t xml:space="preserve">relating </w:t>
      </w:r>
      <w:r w:rsidR="00461B79" w:rsidRPr="00AA7F05">
        <w:t xml:space="preserve">to </w:t>
      </w:r>
      <w:r w:rsidRPr="00AA7F05">
        <w:t>c</w:t>
      </w:r>
      <w:r w:rsidR="00461B79" w:rsidRPr="00AA7F05">
        <w:t>ustom</w:t>
      </w:r>
      <w:r w:rsidRPr="00AA7F05">
        <w:t>s</w:t>
      </w:r>
      <w:r w:rsidR="00461B79" w:rsidRPr="00AA7F05">
        <w:t xml:space="preserve"> </w:t>
      </w:r>
      <w:r w:rsidRPr="00AA7F05">
        <w:t>d</w:t>
      </w:r>
      <w:r w:rsidR="00461B79" w:rsidRPr="00AA7F05">
        <w:t xml:space="preserve">uties and VAT on </w:t>
      </w:r>
      <w:r w:rsidRPr="00AA7F05">
        <w:t>an</w:t>
      </w:r>
      <w:r w:rsidR="00461B79" w:rsidRPr="00AA7F05">
        <w:t xml:space="preserve"> accrual basis.</w:t>
      </w:r>
    </w:p>
    <w:p w:rsidR="00461B79" w:rsidRPr="00AA7F05" w:rsidRDefault="008D7623" w:rsidP="00461B79">
      <w:pPr>
        <w:numPr>
          <w:ilvl w:val="0"/>
          <w:numId w:val="8"/>
        </w:numPr>
        <w:bidi w:val="0"/>
        <w:ind w:right="0"/>
        <w:jc w:val="lowKashida"/>
      </w:pPr>
      <w:r w:rsidRPr="00AA7F05">
        <w:t xml:space="preserve">Ensuring the </w:t>
      </w:r>
      <w:r w:rsidR="00461B79" w:rsidRPr="00AA7F05">
        <w:t xml:space="preserve">consistency of data after updating from different sources and comparing the </w:t>
      </w:r>
      <w:bookmarkStart w:id="1" w:name="_GoBack"/>
      <w:bookmarkEnd w:id="1"/>
      <w:r w:rsidR="00812B72" w:rsidRPr="00AA7F05">
        <w:t xml:space="preserve">data </w:t>
      </w:r>
      <w:r w:rsidR="00461B79" w:rsidRPr="00AA7F05">
        <w:t>structure (percent</w:t>
      </w:r>
      <w:r w:rsidR="00812B72" w:rsidRPr="00AA7F05">
        <w:t>age</w:t>
      </w:r>
      <w:r w:rsidR="00461B79" w:rsidRPr="00AA7F05">
        <w:t xml:space="preserve"> of inputs to outputs, percent</w:t>
      </w:r>
      <w:r w:rsidR="00812B72" w:rsidRPr="00AA7F05">
        <w:t>age</w:t>
      </w:r>
      <w:r w:rsidR="00461B79" w:rsidRPr="00AA7F05">
        <w:t xml:space="preserve"> of </w:t>
      </w:r>
      <w:r w:rsidR="00812B72" w:rsidRPr="00AA7F05">
        <w:t xml:space="preserve">employee </w:t>
      </w:r>
      <w:r w:rsidR="00461B79" w:rsidRPr="00AA7F05">
        <w:t xml:space="preserve">compensation to </w:t>
      </w:r>
      <w:r w:rsidR="00812B72" w:rsidRPr="00AA7F05">
        <w:t xml:space="preserve">the </w:t>
      </w:r>
      <w:r w:rsidR="00461B79" w:rsidRPr="00AA7F05">
        <w:t>value added, the logic for the growth rates in production and value added).</w:t>
      </w:r>
    </w:p>
    <w:p w:rsidR="004446E7" w:rsidRPr="00AA7F05" w:rsidRDefault="00461B79" w:rsidP="00095FA9">
      <w:pPr>
        <w:numPr>
          <w:ilvl w:val="0"/>
          <w:numId w:val="8"/>
        </w:numPr>
        <w:bidi w:val="0"/>
        <w:ind w:right="0"/>
        <w:jc w:val="lowKashida"/>
      </w:pPr>
      <w:r w:rsidRPr="00AA7F05">
        <w:t>Us</w:t>
      </w:r>
      <w:r w:rsidR="00812B72" w:rsidRPr="00AA7F05">
        <w:t xml:space="preserve">e of </w:t>
      </w:r>
      <w:r w:rsidRPr="00AA7F05">
        <w:t xml:space="preserve">adjustments of </w:t>
      </w:r>
      <w:r w:rsidR="00812B72" w:rsidRPr="00AA7F05">
        <w:t>s</w:t>
      </w:r>
      <w:r w:rsidRPr="00AA7F05">
        <w:t xml:space="preserve">upply and </w:t>
      </w:r>
      <w:r w:rsidR="00D63A14" w:rsidRPr="00AA7F05">
        <w:t>of</w:t>
      </w:r>
      <w:r w:rsidRPr="00AA7F05">
        <w:t xml:space="preserve"> </w:t>
      </w:r>
      <w:r w:rsidR="00812B72" w:rsidRPr="00AA7F05">
        <w:t>t</w:t>
      </w:r>
      <w:r w:rsidRPr="00AA7F05">
        <w:t xml:space="preserve">ables for </w:t>
      </w:r>
      <w:r w:rsidR="00095FA9" w:rsidRPr="00AA7F05">
        <w:t>2004</w:t>
      </w:r>
      <w:r w:rsidRPr="00AA7F05">
        <w:t xml:space="preserve"> to compar</w:t>
      </w:r>
      <w:r w:rsidR="00812B72" w:rsidRPr="00AA7F05">
        <w:t>e</w:t>
      </w:r>
      <w:r w:rsidR="00473834" w:rsidRPr="00AA7F05">
        <w:t xml:space="preserve"> data </w:t>
      </w:r>
      <w:r w:rsidRPr="00AA7F05">
        <w:t>consistency.</w:t>
      </w:r>
    </w:p>
    <w:p w:rsidR="001479BB" w:rsidRPr="00957164" w:rsidRDefault="001479BB" w:rsidP="0039703C">
      <w:pPr>
        <w:bidi w:val="0"/>
        <w:jc w:val="lowKashida"/>
        <w:rPr>
          <w:b/>
          <w:bCs/>
        </w:rPr>
      </w:pPr>
    </w:p>
    <w:p w:rsidR="00461B79" w:rsidRPr="00AA7F05" w:rsidRDefault="0097260F" w:rsidP="001479BB">
      <w:pPr>
        <w:bidi w:val="0"/>
        <w:jc w:val="lowKashida"/>
        <w:rPr>
          <w:b/>
          <w:bCs/>
        </w:rPr>
      </w:pPr>
      <w:r w:rsidRPr="00AA7F05">
        <w:rPr>
          <w:b/>
          <w:bCs/>
        </w:rPr>
        <w:t>2.</w:t>
      </w:r>
      <w:r w:rsidR="0039703C" w:rsidRPr="00AA7F05">
        <w:rPr>
          <w:b/>
          <w:bCs/>
        </w:rPr>
        <w:t>4</w:t>
      </w:r>
      <w:r w:rsidR="00461B79" w:rsidRPr="00AA7F05">
        <w:rPr>
          <w:b/>
          <w:bCs/>
        </w:rPr>
        <w:t xml:space="preserve"> Data Reliability</w:t>
      </w:r>
    </w:p>
    <w:p w:rsidR="00461B79" w:rsidRPr="00AA7F05" w:rsidRDefault="00461B79" w:rsidP="003D0A57">
      <w:pPr>
        <w:bidi w:val="0"/>
        <w:jc w:val="lowKashida"/>
      </w:pPr>
      <w:r w:rsidRPr="00AA7F05">
        <w:t xml:space="preserve">The compilation of </w:t>
      </w:r>
      <w:r w:rsidR="00D63A14" w:rsidRPr="00AA7F05">
        <w:t>N</w:t>
      </w:r>
      <w:r w:rsidRPr="00AA7F05">
        <w:t xml:space="preserve">ational </w:t>
      </w:r>
      <w:r w:rsidR="00D63A14" w:rsidRPr="00AA7F05">
        <w:t>A</w:t>
      </w:r>
      <w:r w:rsidRPr="00AA7F05">
        <w:t>ccounts relies on a system of data sources (surveys and administrative records) that have a high degree of reliability. In addition, the process of compilation</w:t>
      </w:r>
      <w:r w:rsidR="003D0A57" w:rsidRPr="00AA7F05">
        <w:t xml:space="preserve"> </w:t>
      </w:r>
      <w:r w:rsidR="00B40C30" w:rsidRPr="00AA7F05">
        <w:t xml:space="preserve">is based </w:t>
      </w:r>
      <w:r w:rsidRPr="00AA7F05">
        <w:t xml:space="preserve">on a computerized system </w:t>
      </w:r>
      <w:r w:rsidR="003D0A57" w:rsidRPr="00AA7F05">
        <w:t xml:space="preserve">that </w:t>
      </w:r>
      <w:r w:rsidRPr="00AA7F05">
        <w:t>minimizes human errors by applying relevant checks.</w:t>
      </w:r>
    </w:p>
    <w:p w:rsidR="00461B79" w:rsidRPr="00957164" w:rsidRDefault="00461B79" w:rsidP="00461B79">
      <w:pPr>
        <w:bidi w:val="0"/>
        <w:jc w:val="lowKashida"/>
        <w:rPr>
          <w:sz w:val="20"/>
          <w:szCs w:val="20"/>
        </w:rPr>
      </w:pPr>
    </w:p>
    <w:p w:rsidR="00461B79" w:rsidRPr="00AA7F05" w:rsidRDefault="00B40C30" w:rsidP="00C52ADD">
      <w:pPr>
        <w:bidi w:val="0"/>
        <w:jc w:val="lowKashida"/>
        <w:rPr>
          <w:lang w:val="en-GB"/>
        </w:rPr>
      </w:pPr>
      <w:r w:rsidRPr="00AA7F05">
        <w:t xml:space="preserve">The </w:t>
      </w:r>
      <w:r w:rsidR="00461B79" w:rsidRPr="00AA7F05">
        <w:t xml:space="preserve">reliability </w:t>
      </w:r>
      <w:r w:rsidRPr="00AA7F05">
        <w:t xml:space="preserve">of data </w:t>
      </w:r>
      <w:r w:rsidR="00461B79" w:rsidRPr="00AA7F05">
        <w:t>f</w:t>
      </w:r>
      <w:r w:rsidRPr="00AA7F05">
        <w:t>rom the</w:t>
      </w:r>
      <w:r w:rsidR="00461B79" w:rsidRPr="00AA7F05">
        <w:t xml:space="preserve"> economic surveys w</w:t>
      </w:r>
      <w:r w:rsidRPr="00AA7F05">
        <w:t>as</w:t>
      </w:r>
      <w:r w:rsidR="00461B79" w:rsidRPr="00AA7F05">
        <w:t xml:space="preserve"> </w:t>
      </w:r>
      <w:r w:rsidRPr="00AA7F05">
        <w:t xml:space="preserve">checked </w:t>
      </w:r>
      <w:r w:rsidR="00461B79" w:rsidRPr="00AA7F05">
        <w:t xml:space="preserve">to ensure consistency since </w:t>
      </w:r>
      <w:r w:rsidRPr="00AA7F05">
        <w:t xml:space="preserve">accuracy is </w:t>
      </w:r>
      <w:r w:rsidR="00461B79" w:rsidRPr="00AA7F05">
        <w:t>depend</w:t>
      </w:r>
      <w:r w:rsidRPr="00AA7F05">
        <w:t>ent</w:t>
      </w:r>
      <w:r w:rsidR="00461B79" w:rsidRPr="00AA7F05">
        <w:t xml:space="preserve"> on the </w:t>
      </w:r>
      <w:r w:rsidRPr="00AA7F05">
        <w:t xml:space="preserve">information submitted by the </w:t>
      </w:r>
      <w:r w:rsidR="00461B79" w:rsidRPr="00AA7F05">
        <w:t xml:space="preserve">owners of establishments. </w:t>
      </w:r>
    </w:p>
    <w:p w:rsidR="009B22B0" w:rsidRPr="00AA7F05" w:rsidRDefault="009B22B0" w:rsidP="00461B79">
      <w:pPr>
        <w:bidi w:val="0"/>
        <w:ind w:left="-180"/>
        <w:rPr>
          <w:sz w:val="18"/>
          <w:szCs w:val="18"/>
          <w:lang w:val="en-GB"/>
        </w:rPr>
      </w:pPr>
    </w:p>
    <w:p w:rsidR="009B22B0" w:rsidRPr="00AA7F05" w:rsidRDefault="009B22B0" w:rsidP="00461B79">
      <w:pPr>
        <w:pStyle w:val="Title"/>
        <w:rPr>
          <w:rFonts w:ascii="Times New Roman" w:cs="Times New Roman"/>
          <w:lang w:val="en-US" w:bidi="ar-SA"/>
        </w:rPr>
      </w:pPr>
      <w:r w:rsidRPr="00AA7F05">
        <w:rPr>
          <w:rFonts w:ascii="Times New Roman" w:cs="Times New Roman"/>
          <w:lang w:val="en-US" w:bidi="ar-SA"/>
        </w:rPr>
        <w:tab/>
      </w:r>
    </w:p>
    <w:p w:rsidR="00B87D60" w:rsidRPr="00AA7F05" w:rsidRDefault="009B22B0" w:rsidP="009A0F81">
      <w:pPr>
        <w:bidi w:val="0"/>
      </w:pPr>
      <w:r w:rsidRPr="00AA7F05">
        <w:br w:type="page"/>
      </w:r>
    </w:p>
    <w:p w:rsidR="00971DBE" w:rsidRPr="00AA7F05" w:rsidRDefault="00971DBE">
      <w:pPr>
        <w:bidi w:val="0"/>
      </w:pPr>
      <w:r w:rsidRPr="00AA7F05">
        <w:lastRenderedPageBreak/>
        <w:br w:type="page"/>
      </w:r>
    </w:p>
    <w:p w:rsidR="00E97078" w:rsidRPr="00AA7F05" w:rsidRDefault="00E97078" w:rsidP="00DA4DF8">
      <w:pPr>
        <w:bidi w:val="0"/>
        <w:jc w:val="center"/>
      </w:pPr>
      <w:r w:rsidRPr="00AA7F05">
        <w:lastRenderedPageBreak/>
        <w:t>Chapter Three</w:t>
      </w:r>
    </w:p>
    <w:p w:rsidR="00E97078" w:rsidRPr="00AA7F05" w:rsidRDefault="00E97078" w:rsidP="00E97078">
      <w:pPr>
        <w:bidi w:val="0"/>
        <w:jc w:val="center"/>
      </w:pPr>
    </w:p>
    <w:p w:rsidR="00E97078" w:rsidRPr="00957164" w:rsidRDefault="00E97078" w:rsidP="00E97078">
      <w:pPr>
        <w:pStyle w:val="Heading2"/>
      </w:pPr>
      <w:r w:rsidRPr="00957164">
        <w:t>Concepts and Definitions</w:t>
      </w:r>
    </w:p>
    <w:p w:rsidR="00E97078" w:rsidRPr="00AA7F05" w:rsidRDefault="00E97078" w:rsidP="00E97078">
      <w:pPr>
        <w:bidi w:val="0"/>
        <w:rPr>
          <w:rtl/>
        </w:rPr>
      </w:pPr>
    </w:p>
    <w:p w:rsidR="00E97078" w:rsidRPr="00AA7F05" w:rsidRDefault="00E97078" w:rsidP="00E97078">
      <w:pPr>
        <w:pStyle w:val="Subtitle"/>
        <w:jc w:val="both"/>
        <w:rPr>
          <w:rFonts w:ascii="Times New Roman" w:hAnsi="Times New Roman" w:cs="Times New Roman"/>
          <w:sz w:val="24"/>
          <w:szCs w:val="24"/>
        </w:rPr>
      </w:pPr>
      <w:r w:rsidRPr="00AA7F05">
        <w:rPr>
          <w:rFonts w:ascii="Times New Roman" w:hAnsi="Times New Roman" w:cs="Times New Roman"/>
          <w:sz w:val="24"/>
          <w:szCs w:val="24"/>
        </w:rPr>
        <w:t>Glossary of Terms Based on the System of National Accounts (SNA) 2008</w:t>
      </w:r>
    </w:p>
    <w:p w:rsidR="00E97078" w:rsidRPr="00957164" w:rsidRDefault="00E97078" w:rsidP="00E97078">
      <w:pPr>
        <w:pStyle w:val="Subtitle"/>
        <w:jc w:val="both"/>
        <w:rPr>
          <w:rFonts w:ascii="Times New Roman" w:hAnsi="Times New Roman" w:cs="Times New Roman"/>
          <w:sz w:val="24"/>
          <w:szCs w:val="24"/>
        </w:rPr>
      </w:pPr>
    </w:p>
    <w:p w:rsidR="00E97078" w:rsidRPr="00AA7F05" w:rsidRDefault="00E97078" w:rsidP="00E97078">
      <w:pPr>
        <w:numPr>
          <w:ilvl w:val="0"/>
          <w:numId w:val="4"/>
        </w:numPr>
        <w:tabs>
          <w:tab w:val="clear" w:pos="360"/>
        </w:tabs>
        <w:bidi w:val="0"/>
        <w:ind w:right="525"/>
        <w:jc w:val="both"/>
        <w:rPr>
          <w:b/>
          <w:bCs/>
          <w:lang w:eastAsia="en-US"/>
        </w:rPr>
      </w:pPr>
      <w:r w:rsidRPr="00AA7F05">
        <w:rPr>
          <w:b/>
          <w:bCs/>
          <w:lang w:eastAsia="en-US"/>
        </w:rPr>
        <w:t>General Terms</w:t>
      </w:r>
    </w:p>
    <w:p w:rsidR="00E97078" w:rsidRPr="00AA7F05" w:rsidRDefault="00E97078" w:rsidP="00E97078">
      <w:pPr>
        <w:bidi w:val="0"/>
        <w:ind w:left="360"/>
        <w:jc w:val="both"/>
        <w:rPr>
          <w:sz w:val="16"/>
          <w:szCs w:val="16"/>
          <w:lang w:eastAsia="en-US"/>
        </w:rPr>
      </w:pPr>
    </w:p>
    <w:p w:rsidR="00E97078" w:rsidRPr="00AA7F05" w:rsidRDefault="00E97078" w:rsidP="00E97078">
      <w:pPr>
        <w:bidi w:val="0"/>
        <w:jc w:val="both"/>
        <w:rPr>
          <w:b/>
          <w:bCs/>
          <w:lang w:eastAsia="en-US"/>
        </w:rPr>
      </w:pPr>
      <w:r w:rsidRPr="00AA7F05">
        <w:rPr>
          <w:b/>
          <w:bCs/>
          <w:lang w:eastAsia="en-US"/>
        </w:rPr>
        <w:t xml:space="preserve">Institutional Sector: </w:t>
      </w:r>
    </w:p>
    <w:p w:rsidR="00E97078" w:rsidRPr="00AA7F05" w:rsidRDefault="00E97078" w:rsidP="00E97078">
      <w:pPr>
        <w:bidi w:val="0"/>
        <w:jc w:val="both"/>
        <w:rPr>
          <w:b/>
          <w:bCs/>
          <w:lang w:eastAsia="en-US"/>
        </w:rPr>
      </w:pPr>
      <w:r w:rsidRPr="00AA7F05">
        <w:t xml:space="preserve">Institutional units are grouped together to form institutional sectors on the basis of their principal functions, behavior and objectives. There are five institutional sectors in the National Accounts system: government; non-profit institutions serving households; financial </w:t>
      </w:r>
      <w:proofErr w:type="spellStart"/>
      <w:r w:rsidR="00DA4DF8" w:rsidRPr="00AA7F05">
        <w:t>corporations</w:t>
      </w:r>
      <w:proofErr w:type="spellEnd"/>
      <w:r w:rsidRPr="00AA7F05">
        <w:t>; households; and non-financial corporations, in addition to the rest of world sector that has separate account.</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lang w:eastAsia="en-US"/>
        </w:rPr>
      </w:pPr>
      <w:r w:rsidRPr="00AA7F05">
        <w:rPr>
          <w:b/>
          <w:bCs/>
          <w:lang w:eastAsia="en-US"/>
        </w:rPr>
        <w:t>Financial Corporations Sector</w:t>
      </w:r>
      <w:r w:rsidRPr="00AA7F05">
        <w:rPr>
          <w:lang w:eastAsia="en-US"/>
        </w:rPr>
        <w:t xml:space="preserve">: </w:t>
      </w:r>
    </w:p>
    <w:p w:rsidR="00E97078" w:rsidRPr="00AA7F05" w:rsidRDefault="00E97078" w:rsidP="00E97078">
      <w:pPr>
        <w:bidi w:val="0"/>
        <w:jc w:val="both"/>
        <w:rPr>
          <w:lang w:eastAsia="en-US"/>
        </w:rPr>
      </w:pPr>
      <w:r w:rsidRPr="00AA7F05">
        <w:rPr>
          <w:lang w:eastAsia="en-US"/>
        </w:rPr>
        <w:t>This c</w:t>
      </w:r>
      <w:r w:rsidRPr="00AA7F05">
        <w:t>onsists of all resident corporations that are principally engaged in providing financial services, including insurance and pension funding services, to other institutional units.</w:t>
      </w:r>
    </w:p>
    <w:p w:rsidR="00E97078" w:rsidRPr="00AA7F05" w:rsidRDefault="00E97078" w:rsidP="00E97078">
      <w:pPr>
        <w:bidi w:val="0"/>
        <w:jc w:val="both"/>
        <w:rPr>
          <w:b/>
          <w:bCs/>
          <w:sz w:val="16"/>
          <w:szCs w:val="16"/>
          <w:lang w:eastAsia="en-US"/>
        </w:rPr>
      </w:pPr>
    </w:p>
    <w:p w:rsidR="00DA4DF8" w:rsidRPr="00AA7F05" w:rsidRDefault="00E97078" w:rsidP="00E97078">
      <w:pPr>
        <w:bidi w:val="0"/>
        <w:jc w:val="both"/>
        <w:rPr>
          <w:b/>
          <w:bCs/>
          <w:lang w:eastAsia="en-US"/>
        </w:rPr>
      </w:pPr>
      <w:r w:rsidRPr="00AA7F05">
        <w:rPr>
          <w:b/>
          <w:bCs/>
          <w:lang w:eastAsia="en-US"/>
        </w:rPr>
        <w:t>Non-Financial Corporations Sector:</w:t>
      </w:r>
    </w:p>
    <w:p w:rsidR="00E97078" w:rsidRPr="00AA7F05" w:rsidRDefault="00E97078" w:rsidP="00DA4DF8">
      <w:pPr>
        <w:bidi w:val="0"/>
        <w:jc w:val="both"/>
        <w:rPr>
          <w:b/>
          <w:bCs/>
          <w:lang w:eastAsia="en-US"/>
        </w:rPr>
      </w:pPr>
      <w:r w:rsidRPr="00AA7F05">
        <w:rPr>
          <w:lang w:eastAsia="en-US"/>
        </w:rPr>
        <w:t>This c</w:t>
      </w:r>
      <w:r w:rsidRPr="00AA7F05">
        <w:t>onsists of corporations whose principal activity is the production of market goods or non-financial services.</w:t>
      </w:r>
      <w:r w:rsidRPr="00AA7F05">
        <w:rPr>
          <w:b/>
          <w:bCs/>
          <w:lang w:eastAsia="en-US"/>
        </w:rPr>
        <w:t xml:space="preserve"> </w:t>
      </w:r>
    </w:p>
    <w:p w:rsidR="00E97078" w:rsidRPr="00AA7F05" w:rsidRDefault="00E97078" w:rsidP="00E97078">
      <w:pPr>
        <w:bidi w:val="0"/>
        <w:jc w:val="both"/>
        <w:rPr>
          <w:b/>
          <w:bCs/>
          <w:sz w:val="16"/>
          <w:szCs w:val="16"/>
          <w:lang w:eastAsia="en-US"/>
        </w:rPr>
      </w:pPr>
    </w:p>
    <w:p w:rsidR="00DA4DF8" w:rsidRPr="00AA7F05" w:rsidRDefault="00E97078" w:rsidP="00E97078">
      <w:pPr>
        <w:bidi w:val="0"/>
        <w:jc w:val="both"/>
      </w:pPr>
      <w:r w:rsidRPr="00AA7F05">
        <w:rPr>
          <w:b/>
          <w:bCs/>
          <w:lang w:eastAsia="en-US"/>
        </w:rPr>
        <w:t>Government Sector:</w:t>
      </w:r>
      <w:r w:rsidRPr="00AA7F05">
        <w:t xml:space="preserve"> </w:t>
      </w:r>
    </w:p>
    <w:p w:rsidR="00E97078" w:rsidRPr="00AA7F05" w:rsidRDefault="00E97078" w:rsidP="00DA4DF8">
      <w:pPr>
        <w:bidi w:val="0"/>
        <w:jc w:val="both"/>
        <w:rPr>
          <w:lang w:eastAsia="en-US"/>
        </w:rPr>
      </w:pPr>
      <w:r w:rsidRPr="00AA7F05">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r w:rsidRPr="00AA7F05">
        <w:rPr>
          <w:rStyle w:val="FootnoteReference"/>
          <w:rFonts w:eastAsia="SimSun"/>
        </w:rPr>
        <w:footnoteReference w:id="1"/>
      </w:r>
    </w:p>
    <w:p w:rsidR="00E97078" w:rsidRPr="00AA7F05" w:rsidRDefault="00E97078" w:rsidP="00E97078">
      <w:pPr>
        <w:bidi w:val="0"/>
        <w:jc w:val="both"/>
        <w:rPr>
          <w:b/>
          <w:bCs/>
          <w:sz w:val="16"/>
          <w:szCs w:val="16"/>
          <w:lang w:eastAsia="en-US"/>
        </w:rPr>
      </w:pPr>
    </w:p>
    <w:p w:rsidR="00DA4DF8" w:rsidRPr="00AA7F05" w:rsidRDefault="00E97078" w:rsidP="00E97078">
      <w:pPr>
        <w:bidi w:val="0"/>
        <w:jc w:val="both"/>
        <w:rPr>
          <w:lang w:eastAsia="en-US"/>
        </w:rPr>
      </w:pPr>
      <w:r w:rsidRPr="00AA7F05">
        <w:rPr>
          <w:b/>
          <w:bCs/>
          <w:lang w:eastAsia="en-US"/>
        </w:rPr>
        <w:t>Non-Profit Institutions Serving Households (NPISHs):</w:t>
      </w:r>
    </w:p>
    <w:p w:rsidR="00E97078" w:rsidRPr="00AA7F05" w:rsidRDefault="00E97078" w:rsidP="00DA4DF8">
      <w:pPr>
        <w:bidi w:val="0"/>
        <w:jc w:val="both"/>
        <w:rPr>
          <w:b/>
          <w:bCs/>
          <w:lang w:eastAsia="en-US"/>
        </w:rPr>
      </w:pPr>
      <w:r w:rsidRPr="00AA7F05">
        <w:rPr>
          <w:lang w:eastAsia="en-US"/>
        </w:rPr>
        <w:t>This c</w:t>
      </w:r>
      <w:r w:rsidRPr="00AA7F05">
        <w:t>onsists of non-market NPIs that are not controlled by government.</w:t>
      </w:r>
    </w:p>
    <w:p w:rsidR="00E97078" w:rsidRPr="00AA7F05" w:rsidRDefault="00E97078" w:rsidP="00E97078">
      <w:pPr>
        <w:bidi w:val="0"/>
        <w:jc w:val="both"/>
        <w:rPr>
          <w:b/>
          <w:bCs/>
          <w:sz w:val="16"/>
          <w:szCs w:val="16"/>
          <w:lang w:eastAsia="en-US"/>
        </w:rPr>
      </w:pPr>
    </w:p>
    <w:p w:rsidR="00DA4DF8" w:rsidRPr="00AA7F05" w:rsidRDefault="00E97078" w:rsidP="00E97078">
      <w:pPr>
        <w:bidi w:val="0"/>
        <w:jc w:val="both"/>
        <w:rPr>
          <w:b/>
          <w:bCs/>
          <w:lang w:eastAsia="en-US"/>
        </w:rPr>
      </w:pPr>
      <w:r w:rsidRPr="00AA7F05">
        <w:rPr>
          <w:b/>
          <w:bCs/>
          <w:lang w:eastAsia="en-US"/>
        </w:rPr>
        <w:t>Household Sector:</w:t>
      </w:r>
    </w:p>
    <w:p w:rsidR="00E97078" w:rsidRPr="00AA7F05" w:rsidRDefault="00E97078" w:rsidP="00DA4DF8">
      <w:pPr>
        <w:bidi w:val="0"/>
        <w:jc w:val="both"/>
      </w:pPr>
      <w:r w:rsidRPr="00AA7F05">
        <w:t>A household is defined as a group of persons who share the same living accommodation, who pool some, or all, of their income and wealth, and who consume certain types of goods and services collectively, mainly housing and food. Households are mainly consumers, but they may also be producers. All economic activity taking place within the production boundary and not performed by an entity maintaining a complete set of accounts is considered to be undertaken in the household sector.</w:t>
      </w:r>
    </w:p>
    <w:p w:rsidR="00E97078" w:rsidRPr="00AA7F05" w:rsidRDefault="00E97078" w:rsidP="00E97078">
      <w:pPr>
        <w:bidi w:val="0"/>
        <w:jc w:val="both"/>
        <w:rPr>
          <w:sz w:val="16"/>
          <w:szCs w:val="16"/>
        </w:rPr>
      </w:pPr>
    </w:p>
    <w:p w:rsidR="00E97078" w:rsidRPr="00AA7F05" w:rsidRDefault="00E97078" w:rsidP="00E97078">
      <w:pPr>
        <w:bidi w:val="0"/>
        <w:jc w:val="both"/>
        <w:rPr>
          <w:b/>
          <w:bCs/>
        </w:rPr>
      </w:pPr>
      <w:r w:rsidRPr="00AA7F05">
        <w:rPr>
          <w:b/>
          <w:bCs/>
        </w:rPr>
        <w:t>Residence:</w:t>
      </w:r>
    </w:p>
    <w:p w:rsidR="00E97078" w:rsidRPr="00AA7F05" w:rsidRDefault="00E97078" w:rsidP="00E97078">
      <w:pPr>
        <w:bidi w:val="0"/>
        <w:jc w:val="both"/>
        <w:rPr>
          <w:lang w:eastAsia="en-US"/>
        </w:rPr>
      </w:pPr>
      <w:r w:rsidRPr="00AA7F05">
        <w:t>This is defined in economic and not legal terms. The main criterion to determine residence of an entity is the center of economic interest. Persons are considered residents of the country where they live for at least one year. Exceptions to this rule are embassy staff (apart from locally employed people who are residents of the country where they live), patients who are treated abroad, and students who live abroad even when their stay exceeds one year.</w:t>
      </w:r>
    </w:p>
    <w:p w:rsidR="00DA4DF8" w:rsidRPr="00AA7F05" w:rsidRDefault="00E97078" w:rsidP="00E97078">
      <w:pPr>
        <w:bidi w:val="0"/>
        <w:jc w:val="both"/>
        <w:rPr>
          <w:lang w:eastAsia="en-US"/>
        </w:rPr>
      </w:pPr>
      <w:r w:rsidRPr="00AA7F05">
        <w:rPr>
          <w:lang w:eastAsia="en-US"/>
        </w:rPr>
        <w:t xml:space="preserve"> </w:t>
      </w:r>
    </w:p>
    <w:p w:rsidR="00DA4DF8" w:rsidRPr="00AA7F05" w:rsidRDefault="00DA4DF8">
      <w:pPr>
        <w:bidi w:val="0"/>
        <w:rPr>
          <w:lang w:eastAsia="en-US"/>
        </w:rPr>
      </w:pPr>
      <w:r w:rsidRPr="00AA7F05">
        <w:rPr>
          <w:lang w:eastAsia="en-US"/>
        </w:rPr>
        <w:br w:type="page"/>
      </w:r>
    </w:p>
    <w:p w:rsidR="00E97078" w:rsidRPr="00AA7F05" w:rsidRDefault="00E97078" w:rsidP="00957164">
      <w:pPr>
        <w:numPr>
          <w:ilvl w:val="0"/>
          <w:numId w:val="4"/>
        </w:numPr>
        <w:tabs>
          <w:tab w:val="clear" w:pos="360"/>
        </w:tabs>
        <w:bidi w:val="0"/>
        <w:ind w:right="525"/>
        <w:jc w:val="both"/>
        <w:rPr>
          <w:b/>
          <w:bCs/>
          <w:lang w:eastAsia="en-US"/>
        </w:rPr>
      </w:pPr>
      <w:r w:rsidRPr="00957164">
        <w:rPr>
          <w:b/>
          <w:bCs/>
          <w:lang w:eastAsia="en-US"/>
        </w:rPr>
        <w:lastRenderedPageBreak/>
        <w:t xml:space="preserve"> </w:t>
      </w:r>
      <w:r w:rsidRPr="00AA7F05">
        <w:rPr>
          <w:b/>
          <w:bCs/>
          <w:lang w:eastAsia="en-US"/>
        </w:rPr>
        <w:t>Production Concepts</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lang w:eastAsia="en-US"/>
        </w:rPr>
        <w:t>Production</w:t>
      </w:r>
      <w:r w:rsidR="00DA4DF8" w:rsidRPr="00AA7F05">
        <w:rPr>
          <w:b/>
          <w:bCs/>
          <w:lang w:eastAsia="en-US"/>
        </w:rPr>
        <w:t xml:space="preserve"> (Output)</w:t>
      </w:r>
      <w:r w:rsidRPr="00AA7F05">
        <w:rPr>
          <w:b/>
          <w:bCs/>
          <w:lang w:eastAsia="en-US"/>
        </w:rPr>
        <w:t xml:space="preserve">: </w:t>
      </w:r>
    </w:p>
    <w:p w:rsidR="00E97078" w:rsidRPr="00AA7F05" w:rsidRDefault="00E97078" w:rsidP="00E97078">
      <w:pPr>
        <w:bidi w:val="0"/>
        <w:jc w:val="both"/>
        <w:rPr>
          <w:b/>
          <w:bCs/>
        </w:rPr>
      </w:pPr>
      <w:r w:rsidRPr="00AA7F05">
        <w:t>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E97078" w:rsidRPr="00AA7F05" w:rsidRDefault="00E97078" w:rsidP="00E97078">
      <w:pPr>
        <w:bidi w:val="0"/>
        <w:jc w:val="both"/>
        <w:rPr>
          <w:b/>
          <w:bCs/>
          <w:sz w:val="16"/>
          <w:szCs w:val="16"/>
        </w:rPr>
      </w:pPr>
      <w:r w:rsidRPr="00AA7F05">
        <w:rPr>
          <w:b/>
          <w:bCs/>
        </w:rPr>
        <w:t xml:space="preserve"> </w:t>
      </w:r>
    </w:p>
    <w:p w:rsidR="00E97078" w:rsidRPr="00AA7F05" w:rsidRDefault="00E97078" w:rsidP="00E97078">
      <w:pPr>
        <w:pStyle w:val="BodyTextIndent"/>
        <w:ind w:left="0" w:right="-19"/>
        <w:jc w:val="both"/>
        <w:rPr>
          <w:b/>
          <w:bCs/>
        </w:rPr>
      </w:pPr>
      <w:r w:rsidRPr="00AA7F05">
        <w:rPr>
          <w:b/>
          <w:bCs/>
        </w:rPr>
        <w:t xml:space="preserve">Market Outputs: </w:t>
      </w:r>
    </w:p>
    <w:p w:rsidR="00E97078" w:rsidRPr="00AA7F05" w:rsidRDefault="00E97078" w:rsidP="00E97078">
      <w:pPr>
        <w:pStyle w:val="BodyTextIndent"/>
        <w:ind w:left="0" w:right="-19"/>
        <w:jc w:val="both"/>
        <w:rPr>
          <w:b/>
          <w:bCs/>
        </w:rPr>
      </w:pPr>
      <w:r w:rsidRPr="00AA7F05">
        <w:t>It includes goods and services sold at market prices or otherwise disposed of in the market, or in tender for sale or disposal in the market, such as most of the goods and services sold at warehouses and retail sale stores</w:t>
      </w:r>
      <w:r w:rsidRPr="00AA7F05">
        <w:rPr>
          <w:b/>
          <w:bCs/>
        </w:rPr>
        <w:t>.</w:t>
      </w:r>
    </w:p>
    <w:p w:rsidR="00E97078" w:rsidRPr="00AA7F05" w:rsidRDefault="00E97078" w:rsidP="00E97078">
      <w:pPr>
        <w:pStyle w:val="BodyTextIndent"/>
        <w:ind w:left="0" w:right="-19"/>
        <w:jc w:val="both"/>
        <w:rPr>
          <w:b/>
          <w:bCs/>
          <w:sz w:val="16"/>
          <w:szCs w:val="16"/>
        </w:rPr>
      </w:pPr>
    </w:p>
    <w:p w:rsidR="00E97078" w:rsidRPr="00AA7F05" w:rsidRDefault="00E97078" w:rsidP="00E97078">
      <w:pPr>
        <w:pStyle w:val="BodyTextIndent"/>
        <w:ind w:left="0" w:right="-19"/>
        <w:jc w:val="both"/>
      </w:pPr>
      <w:r w:rsidRPr="00AA7F05">
        <w:rPr>
          <w:b/>
          <w:bCs/>
        </w:rPr>
        <w:t>Output for own final use:</w:t>
      </w:r>
      <w:r w:rsidRPr="00AA7F05">
        <w:t xml:space="preserve"> </w:t>
      </w:r>
    </w:p>
    <w:p w:rsidR="00E97078" w:rsidRPr="00AA7F05" w:rsidRDefault="00E97078" w:rsidP="00E97078">
      <w:pPr>
        <w:pStyle w:val="BodyTextIndent"/>
        <w:ind w:left="0" w:right="-19"/>
        <w:jc w:val="both"/>
      </w:pPr>
      <w:r w:rsidRPr="00AA7F05">
        <w:t>Consists of products retained by the producer for his own use in final consumption or capital formation.</w:t>
      </w:r>
    </w:p>
    <w:p w:rsidR="00E97078" w:rsidRPr="00AA7F05" w:rsidRDefault="00E97078" w:rsidP="00E97078">
      <w:pPr>
        <w:pStyle w:val="BodyTextIndent"/>
        <w:ind w:left="0" w:right="-19"/>
        <w:jc w:val="both"/>
        <w:rPr>
          <w:b/>
          <w:bCs/>
          <w:sz w:val="16"/>
          <w:szCs w:val="16"/>
        </w:rPr>
      </w:pPr>
    </w:p>
    <w:p w:rsidR="00E97078" w:rsidRPr="00AA7F05" w:rsidRDefault="00E97078" w:rsidP="00E97078">
      <w:pPr>
        <w:pStyle w:val="BodyTextIndent"/>
        <w:ind w:left="0" w:right="-19"/>
        <w:jc w:val="both"/>
      </w:pPr>
      <w:r w:rsidRPr="00AA7F05">
        <w:rPr>
          <w:b/>
          <w:bCs/>
        </w:rPr>
        <w:t>Other Non-Market Outputs:</w:t>
      </w:r>
      <w:r w:rsidRPr="00AA7F05">
        <w:t xml:space="preserve"> </w:t>
      </w:r>
    </w:p>
    <w:p w:rsidR="00E97078" w:rsidRPr="00AA7F05" w:rsidRDefault="00E97078" w:rsidP="00E97078">
      <w:pPr>
        <w:pStyle w:val="BodyTextIndent"/>
        <w:ind w:left="0" w:right="-19"/>
        <w:jc w:val="both"/>
        <w:rPr>
          <w:b/>
          <w:bCs/>
        </w:rPr>
      </w:pPr>
      <w:r w:rsidRPr="00AA7F05">
        <w:t xml:space="preserve">Consists of goods and individual or collective services produced by non-profit institutions serving households (NPISHs) or </w:t>
      </w:r>
      <w:r w:rsidR="0058345C" w:rsidRPr="00AA7F05">
        <w:t xml:space="preserve">the </w:t>
      </w:r>
      <w:r w:rsidRPr="00AA7F05">
        <w:t>government that are supplied free, or at prices that are not economically significant, to other institutional units or the community as a whole</w:t>
      </w:r>
      <w:r w:rsidRPr="00AA7F05">
        <w:rPr>
          <w:b/>
          <w:bCs/>
        </w:rPr>
        <w:t>.</w:t>
      </w:r>
    </w:p>
    <w:p w:rsidR="00E97078" w:rsidRPr="00AA7F05" w:rsidRDefault="00E97078" w:rsidP="00E97078">
      <w:pPr>
        <w:pStyle w:val="BodyTextIndent"/>
        <w:ind w:left="0" w:right="720"/>
        <w:jc w:val="both"/>
        <w:rPr>
          <w:b/>
          <w:bCs/>
          <w:sz w:val="16"/>
          <w:szCs w:val="16"/>
        </w:rPr>
      </w:pPr>
    </w:p>
    <w:p w:rsidR="00E97078" w:rsidRPr="00AA7F05" w:rsidRDefault="00E97078" w:rsidP="00E97078">
      <w:pPr>
        <w:pStyle w:val="BodyTextIndent"/>
        <w:ind w:left="0" w:right="720"/>
        <w:jc w:val="both"/>
        <w:rPr>
          <w:b/>
          <w:bCs/>
        </w:rPr>
      </w:pPr>
      <w:r w:rsidRPr="00AA7F05">
        <w:rPr>
          <w:b/>
          <w:bCs/>
        </w:rPr>
        <w:t>Financial Services:</w:t>
      </w:r>
    </w:p>
    <w:p w:rsidR="00E97078" w:rsidRPr="00AA7F05" w:rsidRDefault="00E97078" w:rsidP="00E97078">
      <w:pPr>
        <w:bidi w:val="0"/>
        <w:jc w:val="both"/>
        <w:rPr>
          <w:b/>
          <w:bCs/>
          <w:lang w:eastAsia="en-US"/>
        </w:rPr>
      </w:pPr>
      <w:r w:rsidRPr="00AA7F05">
        <w:t>This is the output of financial services that can be measured by the total cost of actual and calculated services. This is necessary because financial institutions accrue earnings from the difference between interests on loans and deposits.  As the calculation of the cost of the actual service is carried out directly, the calculation of the service (services of financial intermediation measured indirectly FISIM) is more complicated and includes monitoring services, convenience services, liquidity provision, risk assumption, underwriting and trading services.</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lang w:eastAsia="en-US"/>
        </w:rPr>
        <w:t>Insurance Services:</w:t>
      </w:r>
    </w:p>
    <w:p w:rsidR="00E97078" w:rsidRPr="00AA7F05" w:rsidRDefault="00E97078" w:rsidP="00E97078">
      <w:pPr>
        <w:bidi w:val="0"/>
        <w:jc w:val="both"/>
        <w:rPr>
          <w:b/>
          <w:bCs/>
          <w:lang w:eastAsia="en-US"/>
        </w:rPr>
      </w:pPr>
      <w:r w:rsidRPr="00AA7F05">
        <w:t>This is the output of insurance activities measured by the value of the actual and calculated cost of the service provided. In cases other than life insurance (insurance against accidents such as car insurance, fire, and maritime insurance), the cost of the calculated service equals the insurance premium with respect to future claims arising from the occurrence of the events specified in the insurance policies during the reference period, in addition to the income generated from investing the technical reserves in the reference period, minus claims payable for the reference period. The output of life insurance is measured in the same way as it consists of the three aforementioned components, in addition to the value of reduction of technical reserves, which are built by the insurance enterprises to pay the claims of an insurance policy included in the insurance program</w:t>
      </w:r>
      <w:r w:rsidRPr="00AA7F05">
        <w:rPr>
          <w:b/>
          <w:bCs/>
          <w:lang w:eastAsia="en-US"/>
        </w:rPr>
        <w:t>.</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lang w:eastAsia="en-US"/>
        </w:rPr>
        <w:t>Intermediate Consumption:</w:t>
      </w:r>
    </w:p>
    <w:p w:rsidR="00E97078" w:rsidRPr="00AA7F05" w:rsidRDefault="00E97078" w:rsidP="00E97078">
      <w:pPr>
        <w:bidi w:val="0"/>
        <w:jc w:val="both"/>
        <w:rPr>
          <w:b/>
          <w:bCs/>
          <w:lang w:eastAsia="en-US"/>
        </w:rPr>
      </w:pPr>
      <w:proofErr w:type="gramStart"/>
      <w:r w:rsidRPr="00AA7F05">
        <w:t>Consists of the value of the goods and services consumed as inputs by a process of production, excluding fixed assets whose consumption is recorded as consumption of fixed capital.</w:t>
      </w:r>
      <w:proofErr w:type="gramEnd"/>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lang w:eastAsia="en-US"/>
        </w:rPr>
        <w:t>Value Added:</w:t>
      </w:r>
    </w:p>
    <w:p w:rsidR="00E97078" w:rsidRPr="00AA7F05" w:rsidRDefault="00E97078" w:rsidP="00E97078">
      <w:pPr>
        <w:bidi w:val="0"/>
        <w:jc w:val="both"/>
        <w:rPr>
          <w:b/>
          <w:bCs/>
          <w:lang w:eastAsia="en-US"/>
        </w:rPr>
      </w:pPr>
      <w:r w:rsidRPr="00AA7F05">
        <w:t xml:space="preserve">Value added is a central concept of production and refers to the generated value of any unit that carries out any productive activity. Gross value added is defined as the value of gross </w:t>
      </w:r>
      <w:r w:rsidRPr="00AA7F05">
        <w:lastRenderedPageBreak/>
        <w:t>output less the value of intermediate consumption. The net value added is defined as the gross value less the value of fixed capital consumption.</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lang w:eastAsia="en-US"/>
        </w:rPr>
        <w:t>Gross Domestic Product or GDP:</w:t>
      </w:r>
    </w:p>
    <w:p w:rsidR="00E97078" w:rsidRPr="00AA7F05" w:rsidRDefault="00E97078" w:rsidP="00E97078">
      <w:pPr>
        <w:bidi w:val="0"/>
        <w:jc w:val="both"/>
        <w:rPr>
          <w:lang w:eastAsia="en-US"/>
        </w:rPr>
      </w:pPr>
      <w:r w:rsidRPr="00AA7F05">
        <w:t>This measures the total value added of all economic activities, which consists of the output of goods and services for final use produced by both residents and non-residents (local factors of production), and regardless of the distribution of this production, locally or externally, during a specific period of time. It does not include deductions for depreciation of fixed capital or deterioration of natural resources.</w:t>
      </w:r>
    </w:p>
    <w:p w:rsidR="00E97078" w:rsidRPr="00DB173F" w:rsidRDefault="00E97078" w:rsidP="00E97078">
      <w:pPr>
        <w:bidi w:val="0"/>
        <w:jc w:val="both"/>
        <w:rPr>
          <w:b/>
          <w:bCs/>
        </w:rPr>
      </w:pPr>
    </w:p>
    <w:p w:rsidR="00E97078" w:rsidRPr="00AA7F05" w:rsidRDefault="00E97078" w:rsidP="00E97078">
      <w:pPr>
        <w:bidi w:val="0"/>
        <w:jc w:val="both"/>
        <w:rPr>
          <w:b/>
          <w:bCs/>
        </w:rPr>
      </w:pPr>
      <w:r w:rsidRPr="00AA7F05">
        <w:rPr>
          <w:b/>
          <w:bCs/>
        </w:rPr>
        <w:t>3. Final Consumption Groups</w:t>
      </w:r>
    </w:p>
    <w:p w:rsidR="00E97078" w:rsidRPr="00AA7F05" w:rsidRDefault="00E97078" w:rsidP="00E97078">
      <w:pPr>
        <w:bidi w:val="0"/>
        <w:jc w:val="both"/>
        <w:rPr>
          <w:sz w:val="16"/>
          <w:szCs w:val="16"/>
        </w:rPr>
      </w:pPr>
    </w:p>
    <w:p w:rsidR="00E97078" w:rsidRPr="00AA7F05" w:rsidRDefault="00E97078" w:rsidP="00E97078">
      <w:pPr>
        <w:bidi w:val="0"/>
        <w:jc w:val="both"/>
        <w:rPr>
          <w:b/>
          <w:bCs/>
          <w:lang w:eastAsia="en-US"/>
        </w:rPr>
      </w:pPr>
      <w:r w:rsidRPr="00AA7F05">
        <w:rPr>
          <w:b/>
          <w:bCs/>
          <w:lang w:eastAsia="en-US"/>
        </w:rPr>
        <w:t>Final Consumption:</w:t>
      </w:r>
    </w:p>
    <w:p w:rsidR="00E97078" w:rsidRPr="00AA7F05" w:rsidRDefault="00E97078" w:rsidP="00E97078">
      <w:pPr>
        <w:bidi w:val="0"/>
        <w:jc w:val="both"/>
        <w:rPr>
          <w:b/>
          <w:bCs/>
          <w:lang w:eastAsia="en-US"/>
        </w:rPr>
      </w:pPr>
      <w:r w:rsidRPr="00AA7F05">
        <w:t>This is the amount of expenditure on consumption of goods and services by households, government and non-profit institutions serving households (NPISHs).</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rPr>
        <w:t>Household Final Consumption</w:t>
      </w:r>
      <w:r w:rsidRPr="00AA7F05">
        <w:rPr>
          <w:b/>
          <w:bCs/>
          <w:lang w:eastAsia="en-US"/>
        </w:rPr>
        <w:t xml:space="preserve">: </w:t>
      </w:r>
    </w:p>
    <w:p w:rsidR="00E97078" w:rsidRPr="00AA7F05" w:rsidRDefault="00E97078" w:rsidP="00E97078">
      <w:pPr>
        <w:bidi w:val="0"/>
        <w:jc w:val="both"/>
        <w:rPr>
          <w:lang w:eastAsia="en-US"/>
        </w:rPr>
      </w:pPr>
      <w:r w:rsidRPr="00AA7F05">
        <w:t>This consists of the expenditure, including expenditure whose value must be estimated indirectly, incurred by resident households on the individual consumption of goods and services, including those sold at prices that are not economically significant and including consumption goods and services acquired abroad.</w:t>
      </w:r>
    </w:p>
    <w:p w:rsidR="00E97078" w:rsidRPr="00AA7F05" w:rsidRDefault="00E97078" w:rsidP="00E97078">
      <w:pPr>
        <w:bidi w:val="0"/>
        <w:jc w:val="both"/>
        <w:rPr>
          <w:sz w:val="16"/>
          <w:szCs w:val="16"/>
          <w:lang w:eastAsia="en-US"/>
        </w:rPr>
      </w:pPr>
    </w:p>
    <w:p w:rsidR="00E97078" w:rsidRPr="00AA7F05" w:rsidRDefault="00E97078" w:rsidP="00E97078">
      <w:pPr>
        <w:bidi w:val="0"/>
        <w:jc w:val="both"/>
        <w:rPr>
          <w:lang w:eastAsia="en-US"/>
        </w:rPr>
      </w:pPr>
      <w:r w:rsidRPr="00AA7F05">
        <w:rPr>
          <w:b/>
          <w:bCs/>
          <w:lang w:eastAsia="en-US"/>
        </w:rPr>
        <w:t>Government Final Consumption:</w:t>
      </w:r>
      <w:r w:rsidRPr="00AA7F05">
        <w:rPr>
          <w:lang w:eastAsia="en-US"/>
        </w:rPr>
        <w:t xml:space="preserve"> </w:t>
      </w:r>
    </w:p>
    <w:p w:rsidR="00E97078" w:rsidRPr="00AA7F05" w:rsidRDefault="00E97078" w:rsidP="00E97078">
      <w:pPr>
        <w:bidi w:val="0"/>
        <w:jc w:val="both"/>
        <w:rPr>
          <w:b/>
          <w:bCs/>
          <w:lang w:eastAsia="en-US"/>
        </w:rPr>
      </w:pPr>
      <w:r w:rsidRPr="00AA7F05">
        <w:t xml:space="preserve">This consists of expenditure, including expenditure whose value must be estimated indirectly, incurred by general government </w:t>
      </w:r>
      <w:proofErr w:type="gramStart"/>
      <w:r w:rsidR="0058345C" w:rsidRPr="00AA7F05">
        <w:t>for</w:t>
      </w:r>
      <w:r w:rsidRPr="00AA7F05">
        <w:t xml:space="preserve"> both individual consumption</w:t>
      </w:r>
      <w:proofErr w:type="gramEnd"/>
      <w:r w:rsidRPr="00AA7F05">
        <w:t xml:space="preserve"> of goods and services and collective consumption services.</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rPr>
        <w:t>Final Consumption Expenditure of Non-profit Institutions Serving Households</w:t>
      </w:r>
      <w:r w:rsidR="00DA4DF8" w:rsidRPr="00AA7F05">
        <w:rPr>
          <w:b/>
          <w:bCs/>
        </w:rPr>
        <w:t>:</w:t>
      </w:r>
    </w:p>
    <w:p w:rsidR="00E97078" w:rsidRPr="00AA7F05" w:rsidRDefault="00E97078" w:rsidP="00E97078">
      <w:pPr>
        <w:bidi w:val="0"/>
        <w:jc w:val="both"/>
        <w:rPr>
          <w:b/>
          <w:bCs/>
          <w:lang w:eastAsia="en-US"/>
        </w:rPr>
      </w:pPr>
      <w:r w:rsidRPr="00AA7F05">
        <w:t>This consists of the expenditure, including expenditure whose value must be estimated indirectly, incurred by resident NPISHs on individual consumption of goods and services</w:t>
      </w:r>
      <w:r w:rsidR="008158FA" w:rsidRPr="00AA7F05">
        <w:t>,</w:t>
      </w:r>
      <w:r w:rsidRPr="00AA7F05">
        <w:t xml:space="preserve"> and possibly on collective consumption services.</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lang w:eastAsia="en-US"/>
        </w:rPr>
        <w:t>Gross Capital Formation:</w:t>
      </w:r>
    </w:p>
    <w:p w:rsidR="00E97078" w:rsidRPr="00AA7F05" w:rsidRDefault="00E97078" w:rsidP="00E97078">
      <w:pPr>
        <w:bidi w:val="0"/>
        <w:jc w:val="both"/>
        <w:rPr>
          <w:lang w:eastAsia="en-US"/>
        </w:rPr>
      </w:pPr>
      <w:r w:rsidRPr="00AA7F05">
        <w:t>This is the acquisition minus the disposal of produced assets for the purpose of fixed capital formation, inventories or valuables</w:t>
      </w:r>
      <w:r w:rsidRPr="00AA7F05">
        <w:rPr>
          <w:lang w:eastAsia="en-US"/>
        </w:rPr>
        <w:t>.</w:t>
      </w:r>
    </w:p>
    <w:p w:rsidR="00E97078" w:rsidRPr="00AA7F05" w:rsidRDefault="00E97078" w:rsidP="00E97078">
      <w:pPr>
        <w:bidi w:val="0"/>
        <w:jc w:val="both"/>
        <w:rPr>
          <w:sz w:val="16"/>
          <w:szCs w:val="16"/>
          <w:lang w:eastAsia="en-US"/>
        </w:rPr>
      </w:pPr>
    </w:p>
    <w:p w:rsidR="00E97078" w:rsidRPr="00AA7F05" w:rsidRDefault="00E97078" w:rsidP="00E97078">
      <w:pPr>
        <w:bidi w:val="0"/>
        <w:ind w:right="187"/>
        <w:jc w:val="both"/>
      </w:pPr>
      <w:r w:rsidRPr="00AA7F05">
        <w:rPr>
          <w:b/>
          <w:bCs/>
          <w:lang w:eastAsia="en-US"/>
        </w:rPr>
        <w:t>Gross Fixed Capital Formation:</w:t>
      </w:r>
      <w:r w:rsidRPr="00AA7F05">
        <w:rPr>
          <w:lang w:eastAsia="en-US"/>
        </w:rPr>
        <w:t xml:space="preserve"> </w:t>
      </w:r>
    </w:p>
    <w:p w:rsidR="00E97078" w:rsidRPr="00AA7F05" w:rsidRDefault="00E97078" w:rsidP="00E97078">
      <w:pPr>
        <w:bidi w:val="0"/>
        <w:ind w:right="187"/>
        <w:jc w:val="both"/>
        <w:rPr>
          <w:lang w:eastAsia="en-US"/>
        </w:rPr>
      </w:pPr>
      <w:r w:rsidRPr="00AA7F05">
        <w:t>Gross fixed capital formation consists of the value of producers’ acquisitions of new and existing products of produced assets minus the value of the disposal of fixed assets of the same type.</w:t>
      </w:r>
    </w:p>
    <w:p w:rsidR="00E97078" w:rsidRPr="00AA7F05" w:rsidRDefault="00E97078" w:rsidP="00E97078">
      <w:pPr>
        <w:bidi w:val="0"/>
        <w:jc w:val="both"/>
        <w:rPr>
          <w:sz w:val="16"/>
          <w:szCs w:val="16"/>
          <w:lang w:eastAsia="en-US"/>
        </w:rPr>
      </w:pPr>
    </w:p>
    <w:p w:rsidR="00E97078" w:rsidRPr="00AA7F05" w:rsidRDefault="00E97078" w:rsidP="00E97078">
      <w:pPr>
        <w:bidi w:val="0"/>
        <w:jc w:val="both"/>
        <w:rPr>
          <w:b/>
          <w:bCs/>
          <w:lang w:eastAsia="en-US"/>
        </w:rPr>
      </w:pPr>
      <w:r w:rsidRPr="00AA7F05">
        <w:rPr>
          <w:b/>
          <w:bCs/>
          <w:lang w:eastAsia="en-US"/>
        </w:rPr>
        <w:t>Change in Inventory:</w:t>
      </w:r>
    </w:p>
    <w:p w:rsidR="00E97078" w:rsidRPr="00AA7F05" w:rsidRDefault="00E97078" w:rsidP="00E97078">
      <w:pPr>
        <w:bidi w:val="0"/>
        <w:jc w:val="both"/>
        <w:rPr>
          <w:b/>
          <w:bCs/>
          <w:lang w:eastAsia="en-US"/>
        </w:rPr>
      </w:pPr>
      <w:r w:rsidRPr="00AA7F05">
        <w:t>This is measured by the value of entries into inventories minus the value of withdrawals and of any recurrent losses of goods held in inventories during the accounting period.</w:t>
      </w:r>
      <w:r w:rsidRPr="00AA7F05">
        <w:rPr>
          <w:b/>
          <w:bCs/>
          <w:lang w:eastAsia="en-US"/>
        </w:rPr>
        <w:t xml:space="preserve"> </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lang w:eastAsia="en-US"/>
        </w:rPr>
        <w:t>Exports and Imports of Goods and Services:</w:t>
      </w:r>
    </w:p>
    <w:p w:rsidR="00E97078" w:rsidRPr="00AA7F05" w:rsidRDefault="00E97078" w:rsidP="00E97078">
      <w:pPr>
        <w:bidi w:val="0"/>
        <w:jc w:val="both"/>
        <w:rPr>
          <w:b/>
          <w:bCs/>
          <w:lang w:eastAsia="en-US"/>
        </w:rPr>
      </w:pPr>
      <w:r w:rsidRPr="00AA7F05">
        <w:t>These include trading goods and services by residents and non-residents and sales, barter and gifts.</w:t>
      </w:r>
    </w:p>
    <w:p w:rsidR="00E97078" w:rsidRPr="00DB173F"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lang w:eastAsia="en-US"/>
        </w:rPr>
        <w:t>Gross National Income:</w:t>
      </w:r>
      <w:r w:rsidRPr="00AA7F05">
        <w:rPr>
          <w:rStyle w:val="FootnoteReference"/>
          <w:rFonts w:eastAsia="SimSun"/>
          <w:b/>
          <w:bCs/>
        </w:rPr>
        <w:footnoteReference w:id="2"/>
      </w:r>
    </w:p>
    <w:p w:rsidR="00E97078" w:rsidRPr="00AA7F05" w:rsidRDefault="00E97078" w:rsidP="00E97078">
      <w:pPr>
        <w:autoSpaceDE w:val="0"/>
        <w:autoSpaceDN w:val="0"/>
        <w:bidi w:val="0"/>
        <w:adjustRightInd w:val="0"/>
        <w:jc w:val="both"/>
        <w:rPr>
          <w:b/>
          <w:bCs/>
          <w:lang w:eastAsia="en-US"/>
        </w:rPr>
      </w:pPr>
      <w:r w:rsidRPr="00AA7F05">
        <w:t xml:space="preserve">This is the aggregate value of the gross balance of primary income from all sectors. It is defined as GDP plus compensation of employees receivable from abroad, plus property </w:t>
      </w:r>
      <w:r w:rsidRPr="00AA7F05">
        <w:lastRenderedPageBreak/>
        <w:t>income receivable from abroad, plus taxes, minus subsidies on production receivable from abroad, minus compensation of employees payable abroad, minus property income payable abroad, and minus taxes plus subsidies on production payable abroad.</w:t>
      </w:r>
    </w:p>
    <w:p w:rsidR="00942987" w:rsidRPr="00AA7F05" w:rsidRDefault="00942987" w:rsidP="00E97078">
      <w:pPr>
        <w:bidi w:val="0"/>
        <w:jc w:val="both"/>
        <w:rPr>
          <w:b/>
          <w:bCs/>
          <w:sz w:val="16"/>
          <w:szCs w:val="16"/>
          <w:lang w:eastAsia="en-US"/>
        </w:rPr>
      </w:pPr>
    </w:p>
    <w:p w:rsidR="00E97078" w:rsidRPr="00AA7F05" w:rsidRDefault="00E97078" w:rsidP="00942987">
      <w:pPr>
        <w:bidi w:val="0"/>
        <w:jc w:val="both"/>
        <w:rPr>
          <w:b/>
          <w:bCs/>
          <w:lang w:eastAsia="en-US"/>
        </w:rPr>
      </w:pPr>
      <w:r w:rsidRPr="00AA7F05">
        <w:rPr>
          <w:b/>
          <w:bCs/>
          <w:lang w:eastAsia="en-US"/>
        </w:rPr>
        <w:t>Gross National Disposable Income:</w:t>
      </w:r>
    </w:p>
    <w:p w:rsidR="00E97078" w:rsidRPr="00AA7F05" w:rsidRDefault="00E97078" w:rsidP="00E97078">
      <w:pPr>
        <w:bidi w:val="0"/>
        <w:jc w:val="both"/>
        <w:rPr>
          <w:rtl/>
        </w:rPr>
      </w:pPr>
      <w:r w:rsidRPr="00AA7F05">
        <w:t>Gross or net national disposable income may be derived from gross or net national income by adding all current transfers in cash or in kind receivable by resident institutional units from non-resident units and subtracting all current transfers in cash or in kind payable by resident institutional units to non-resident units.</w:t>
      </w:r>
    </w:p>
    <w:p w:rsidR="009B22B0" w:rsidRPr="00AA7F05" w:rsidRDefault="009B22B0" w:rsidP="00E146AB">
      <w:pPr>
        <w:bidi w:val="0"/>
        <w:rPr>
          <w:rtl/>
        </w:rPr>
      </w:pPr>
    </w:p>
    <w:sectPr w:rsidR="009B22B0" w:rsidRPr="00AA7F05" w:rsidSect="000C3A83">
      <w:headerReference w:type="default" r:id="rId17"/>
      <w:footerReference w:type="default" r:id="rId18"/>
      <w:pgSz w:w="11907" w:h="16840" w:code="9"/>
      <w:pgMar w:top="1418" w:right="1418" w:bottom="1418" w:left="1418" w:header="709" w:footer="709" w:gutter="0"/>
      <w:pgNumType w:start="19"/>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1E8" w:rsidRDefault="007671E8">
      <w:r>
        <w:separator/>
      </w:r>
    </w:p>
  </w:endnote>
  <w:endnote w:type="continuationSeparator" w:id="0">
    <w:p w:rsidR="007671E8" w:rsidRDefault="007671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MS Mincho">
    <w:altName w:val="ＭＳ 明朝"/>
    <w:panose1 w:val="02020609040205080304"/>
    <w:charset w:val="80"/>
    <w:family w:val="modern"/>
    <w:pitch w:val="fixed"/>
    <w:sig w:usb0="E00002FF" w:usb1="6AC7FDFB" w:usb2="00000012" w:usb3="00000000" w:csb0="000200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29484"/>
      <w:docPartObj>
        <w:docPartGallery w:val="Page Numbers (Bottom of Page)"/>
        <w:docPartUnique/>
      </w:docPartObj>
    </w:sdtPr>
    <w:sdtContent>
      <w:p w:rsidR="007671E8" w:rsidRDefault="007671E8" w:rsidP="00081D89">
        <w:pPr>
          <w:pStyle w:val="Footer"/>
          <w:jc w:val="center"/>
        </w:pPr>
        <w:r>
          <w:t xml:space="preserve"> ]</w:t>
        </w:r>
        <w:fldSimple w:instr=" PAGE   \* MERGEFORMAT ">
          <w:r w:rsidR="00B85896">
            <w:rPr>
              <w:rtl/>
            </w:rPr>
            <w:t>25</w:t>
          </w:r>
        </w:fldSimple>
        <w:r>
          <w:t>[</w:t>
        </w:r>
      </w:p>
    </w:sdtContent>
  </w:sdt>
  <w:p w:rsidR="007671E8" w:rsidRDefault="007671E8">
    <w:pPr>
      <w:pStyle w:val="Footer"/>
      <w:bidi w:val="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1E8" w:rsidRDefault="007671E8">
      <w:pPr>
        <w:jc w:val="right"/>
      </w:pPr>
      <w:r>
        <w:separator/>
      </w:r>
    </w:p>
  </w:footnote>
  <w:footnote w:type="continuationSeparator" w:id="0">
    <w:p w:rsidR="007671E8" w:rsidRDefault="007671E8">
      <w:r>
        <w:continuationSeparator/>
      </w:r>
    </w:p>
  </w:footnote>
  <w:footnote w:id="1">
    <w:p w:rsidR="007671E8" w:rsidRDefault="007671E8" w:rsidP="00E97078">
      <w:pPr>
        <w:pStyle w:val="FootnoteText"/>
        <w:rPr>
          <w:rFonts w:cs="Times New Roman"/>
          <w:sz w:val="18"/>
          <w:szCs w:val="18"/>
          <w:lang w:eastAsia="en-US"/>
        </w:rPr>
      </w:pPr>
      <w:r>
        <w:rPr>
          <w:rStyle w:val="FootnoteReference"/>
          <w:rFonts w:eastAsia="SimSun"/>
          <w:sz w:val="18"/>
          <w:szCs w:val="18"/>
        </w:rPr>
        <w:footnoteRef/>
      </w:r>
      <w:r>
        <w:rPr>
          <w:rFonts w:cs="Times New Roman"/>
          <w:sz w:val="18"/>
          <w:szCs w:val="18"/>
          <w:lang w:eastAsia="en-US"/>
        </w:rPr>
        <w:t xml:space="preserve"> Many countries produce education, health, social, and public services data under this title according to the system of National Accounts. </w:t>
      </w:r>
    </w:p>
  </w:footnote>
  <w:footnote w:id="2">
    <w:p w:rsidR="007671E8" w:rsidRDefault="007671E8" w:rsidP="00E97078">
      <w:pPr>
        <w:pStyle w:val="FootnoteText"/>
        <w:rPr>
          <w:rFonts w:cs="Times New Roman"/>
          <w:sz w:val="18"/>
          <w:szCs w:val="18"/>
          <w:lang w:eastAsia="en-US"/>
        </w:rPr>
      </w:pPr>
      <w:r>
        <w:rPr>
          <w:rStyle w:val="FootnoteReference"/>
          <w:rFonts w:eastAsia="SimSun"/>
          <w:sz w:val="18"/>
          <w:szCs w:val="18"/>
        </w:rPr>
        <w:footnoteRef/>
      </w:r>
      <w:r>
        <w:rPr>
          <w:rFonts w:cs="Times New Roman"/>
          <w:sz w:val="18"/>
          <w:szCs w:val="18"/>
          <w:lang w:eastAsia="en-US"/>
        </w:rPr>
        <w:t xml:space="preserve"> Formerly known as Gross National Product (GNP) in SNA 1968, but the term became obsolete in SNA 2008.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1E8" w:rsidRPr="00815CAB" w:rsidRDefault="007671E8" w:rsidP="0007627E">
    <w:pPr>
      <w:pStyle w:val="Header"/>
      <w:bidi w:val="0"/>
      <w:rPr>
        <w:rFonts w:ascii="Arial" w:hAnsi="Arial" w:cs="Arial"/>
      </w:rPr>
    </w:pPr>
    <w:r>
      <w:rPr>
        <w:rFonts w:ascii="Arial" w:hAnsi="Arial" w:cs="Arial"/>
        <w:sz w:val="16"/>
        <w:szCs w:val="16"/>
      </w:rPr>
      <w:t xml:space="preserve">PCBS: </w:t>
    </w:r>
    <w:r w:rsidRPr="00815CAB">
      <w:rPr>
        <w:rFonts w:ascii="Arial" w:hAnsi="Arial" w:cs="Arial"/>
        <w:sz w:val="16"/>
        <w:szCs w:val="16"/>
      </w:rPr>
      <w:t>National Accounts at Current and Constant Prices</w:t>
    </w:r>
    <w:r>
      <w:rPr>
        <w:rFonts w:ascii="Arial" w:hAnsi="Arial" w:cs="Arial"/>
        <w:sz w:val="16"/>
        <w:szCs w:val="16"/>
      </w:rPr>
      <w:t xml:space="preserve"> 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720F"/>
    <w:multiLevelType w:val="hybridMultilevel"/>
    <w:tmpl w:val="DC6E0A7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5610E5C"/>
    <w:multiLevelType w:val="hybridMultilevel"/>
    <w:tmpl w:val="3F6C783E"/>
    <w:lvl w:ilvl="0" w:tplc="304415BC">
      <w:start w:val="1"/>
      <w:numFmt w:val="bullet"/>
      <w:lvlText w:val="-"/>
      <w:lvlJc w:val="left"/>
      <w:pPr>
        <w:ind w:left="900" w:hanging="360"/>
      </w:pPr>
      <w:rPr>
        <w:rFonts w:ascii="Times New Roman" w:eastAsia="Times New Roman" w:hAnsi="Times New Roman" w:cs="Times New Roman" w:hint="default"/>
      </w:rPr>
    </w:lvl>
    <w:lvl w:ilvl="1" w:tplc="0409000F">
      <w:start w:val="1"/>
      <w:numFmt w:val="decimal"/>
      <w:lvlText w:val="%2."/>
      <w:lvlJc w:val="left"/>
      <w:pPr>
        <w:ind w:left="1620" w:hanging="360"/>
      </w:pPr>
      <w:rPr>
        <w:rFonts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07737525"/>
    <w:multiLevelType w:val="multilevel"/>
    <w:tmpl w:val="50D20BDA"/>
    <w:lvl w:ilvl="0">
      <w:start w:val="1"/>
      <w:numFmt w:val="decimal"/>
      <w:lvlText w:val="%1."/>
      <w:lvlJc w:val="left"/>
      <w:pPr>
        <w:tabs>
          <w:tab w:val="num" w:pos="360"/>
        </w:tabs>
        <w:ind w:left="360" w:right="360" w:hanging="360"/>
      </w:pPr>
      <w:rPr>
        <w:rFonts w:cs="Times New Roman"/>
      </w:rPr>
    </w:lvl>
    <w:lvl w:ilvl="1">
      <w:start w:val="2"/>
      <w:numFmt w:val="decimal"/>
      <w:isLgl/>
      <w:lvlText w:val="%1.%2"/>
      <w:lvlJc w:val="left"/>
      <w:pPr>
        <w:tabs>
          <w:tab w:val="num" w:pos="360"/>
        </w:tabs>
        <w:ind w:left="360" w:right="360" w:hanging="360"/>
      </w:pPr>
      <w:rPr>
        <w:rFonts w:eastAsia="Arial Unicode MS" w:cs="Times New Roman" w:hint="default"/>
      </w:rPr>
    </w:lvl>
    <w:lvl w:ilvl="2">
      <w:start w:val="1"/>
      <w:numFmt w:val="decimal"/>
      <w:isLgl/>
      <w:lvlText w:val="%1.%2.%3"/>
      <w:lvlJc w:val="left"/>
      <w:pPr>
        <w:tabs>
          <w:tab w:val="num" w:pos="720"/>
        </w:tabs>
        <w:ind w:left="720" w:right="720" w:hanging="720"/>
      </w:pPr>
      <w:rPr>
        <w:rFonts w:eastAsia="Arial Unicode MS" w:cs="Times New Roman" w:hint="default"/>
      </w:rPr>
    </w:lvl>
    <w:lvl w:ilvl="3">
      <w:start w:val="1"/>
      <w:numFmt w:val="decimal"/>
      <w:isLgl/>
      <w:lvlText w:val="%1.%2.%3.%4"/>
      <w:lvlJc w:val="left"/>
      <w:pPr>
        <w:tabs>
          <w:tab w:val="num" w:pos="720"/>
        </w:tabs>
        <w:ind w:left="720" w:right="720" w:hanging="720"/>
      </w:pPr>
      <w:rPr>
        <w:rFonts w:eastAsia="Arial Unicode MS" w:cs="Times New Roman" w:hint="default"/>
      </w:rPr>
    </w:lvl>
    <w:lvl w:ilvl="4">
      <w:start w:val="1"/>
      <w:numFmt w:val="decimal"/>
      <w:isLgl/>
      <w:lvlText w:val="%1.%2.%3.%4.%5"/>
      <w:lvlJc w:val="left"/>
      <w:pPr>
        <w:tabs>
          <w:tab w:val="num" w:pos="1080"/>
        </w:tabs>
        <w:ind w:left="1080" w:right="1080" w:hanging="1080"/>
      </w:pPr>
      <w:rPr>
        <w:rFonts w:eastAsia="Arial Unicode MS" w:cs="Times New Roman" w:hint="default"/>
      </w:rPr>
    </w:lvl>
    <w:lvl w:ilvl="5">
      <w:start w:val="1"/>
      <w:numFmt w:val="decimal"/>
      <w:isLgl/>
      <w:lvlText w:val="%1.%2.%3.%4.%5.%6"/>
      <w:lvlJc w:val="left"/>
      <w:pPr>
        <w:tabs>
          <w:tab w:val="num" w:pos="1080"/>
        </w:tabs>
        <w:ind w:left="1080" w:right="1080" w:hanging="1080"/>
      </w:pPr>
      <w:rPr>
        <w:rFonts w:eastAsia="Arial Unicode MS" w:cs="Times New Roman" w:hint="default"/>
      </w:rPr>
    </w:lvl>
    <w:lvl w:ilvl="6">
      <w:start w:val="1"/>
      <w:numFmt w:val="decimal"/>
      <w:isLgl/>
      <w:lvlText w:val="%1.%2.%3.%4.%5.%6.%7"/>
      <w:lvlJc w:val="left"/>
      <w:pPr>
        <w:tabs>
          <w:tab w:val="num" w:pos="1440"/>
        </w:tabs>
        <w:ind w:left="1440" w:right="1440" w:hanging="1440"/>
      </w:pPr>
      <w:rPr>
        <w:rFonts w:eastAsia="Arial Unicode MS" w:cs="Times New Roman" w:hint="default"/>
      </w:rPr>
    </w:lvl>
    <w:lvl w:ilvl="7">
      <w:start w:val="1"/>
      <w:numFmt w:val="decimal"/>
      <w:isLgl/>
      <w:lvlText w:val="%1.%2.%3.%4.%5.%6.%7.%8"/>
      <w:lvlJc w:val="left"/>
      <w:pPr>
        <w:tabs>
          <w:tab w:val="num" w:pos="1440"/>
        </w:tabs>
        <w:ind w:left="1440" w:right="1440" w:hanging="1440"/>
      </w:pPr>
      <w:rPr>
        <w:rFonts w:eastAsia="Arial Unicode MS" w:cs="Times New Roman" w:hint="default"/>
      </w:rPr>
    </w:lvl>
    <w:lvl w:ilvl="8">
      <w:start w:val="1"/>
      <w:numFmt w:val="decimal"/>
      <w:isLgl/>
      <w:lvlText w:val="%1.%2.%3.%4.%5.%6.%7.%8.%9"/>
      <w:lvlJc w:val="left"/>
      <w:pPr>
        <w:tabs>
          <w:tab w:val="num" w:pos="1800"/>
        </w:tabs>
        <w:ind w:left="1800" w:right="1800" w:hanging="1800"/>
      </w:pPr>
      <w:rPr>
        <w:rFonts w:eastAsia="Arial Unicode MS" w:cs="Times New Roman" w:hint="default"/>
      </w:rPr>
    </w:lvl>
  </w:abstractNum>
  <w:abstractNum w:abstractNumId="3">
    <w:nsid w:val="0E174CD5"/>
    <w:multiLevelType w:val="hybridMultilevel"/>
    <w:tmpl w:val="9C96D61C"/>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4">
    <w:nsid w:val="1339241A"/>
    <w:multiLevelType w:val="hybridMultilevel"/>
    <w:tmpl w:val="2664187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1">
      <w:start w:val="1"/>
      <w:numFmt w:val="bullet"/>
      <w:lvlText w:val=""/>
      <w:lvlJc w:val="left"/>
      <w:pPr>
        <w:tabs>
          <w:tab w:val="num" w:pos="1440"/>
        </w:tabs>
        <w:ind w:left="1440" w:right="1440" w:hanging="36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16137969"/>
    <w:multiLevelType w:val="multilevel"/>
    <w:tmpl w:val="0518B26A"/>
    <w:lvl w:ilvl="0">
      <w:start w:val="1"/>
      <w:numFmt w:val="decimal"/>
      <w:lvlText w:val="%1"/>
      <w:lvlJc w:val="left"/>
      <w:pPr>
        <w:tabs>
          <w:tab w:val="num" w:pos="360"/>
        </w:tabs>
        <w:ind w:left="360" w:right="360" w:hanging="360"/>
      </w:pPr>
      <w:rPr>
        <w:rFonts w:cs="Times New Roman" w:hint="default"/>
      </w:rPr>
    </w:lvl>
    <w:lvl w:ilvl="1">
      <w:start w:val="1"/>
      <w:numFmt w:val="decimal"/>
      <w:lvlText w:val="%1.%2"/>
      <w:lvlJc w:val="left"/>
      <w:pPr>
        <w:tabs>
          <w:tab w:val="num" w:pos="420"/>
        </w:tabs>
        <w:ind w:left="420" w:right="420" w:hanging="360"/>
      </w:pPr>
      <w:rPr>
        <w:rFonts w:cs="Times New Roman" w:hint="default"/>
      </w:rPr>
    </w:lvl>
    <w:lvl w:ilvl="2">
      <w:start w:val="1"/>
      <w:numFmt w:val="upperLetter"/>
      <w:lvlText w:val="%1.%2.%3"/>
      <w:lvlJc w:val="left"/>
      <w:pPr>
        <w:tabs>
          <w:tab w:val="num" w:pos="840"/>
        </w:tabs>
        <w:ind w:left="840" w:right="840" w:hanging="720"/>
      </w:pPr>
      <w:rPr>
        <w:rFonts w:cs="Times New Roman" w:hint="default"/>
      </w:rPr>
    </w:lvl>
    <w:lvl w:ilvl="3">
      <w:start w:val="1"/>
      <w:numFmt w:val="decimal"/>
      <w:lvlText w:val="%1.%2.%3.%4"/>
      <w:lvlJc w:val="left"/>
      <w:pPr>
        <w:tabs>
          <w:tab w:val="num" w:pos="900"/>
        </w:tabs>
        <w:ind w:left="900" w:right="900" w:hanging="720"/>
      </w:pPr>
      <w:rPr>
        <w:rFonts w:cs="Times New Roman" w:hint="default"/>
      </w:rPr>
    </w:lvl>
    <w:lvl w:ilvl="4">
      <w:start w:val="1"/>
      <w:numFmt w:val="decimal"/>
      <w:lvlText w:val="%1.%2.%3.%4.%5"/>
      <w:lvlJc w:val="left"/>
      <w:pPr>
        <w:tabs>
          <w:tab w:val="num" w:pos="1320"/>
        </w:tabs>
        <w:ind w:left="1320" w:right="1320" w:hanging="1080"/>
      </w:pPr>
      <w:rPr>
        <w:rFonts w:cs="Times New Roman" w:hint="default"/>
      </w:rPr>
    </w:lvl>
    <w:lvl w:ilvl="5">
      <w:start w:val="1"/>
      <w:numFmt w:val="decimal"/>
      <w:lvlText w:val="%1.%2.%3.%4.%5.%6"/>
      <w:lvlJc w:val="left"/>
      <w:pPr>
        <w:tabs>
          <w:tab w:val="num" w:pos="1380"/>
        </w:tabs>
        <w:ind w:left="1380" w:right="1380" w:hanging="1080"/>
      </w:pPr>
      <w:rPr>
        <w:rFonts w:cs="Times New Roman" w:hint="default"/>
      </w:rPr>
    </w:lvl>
    <w:lvl w:ilvl="6">
      <w:start w:val="1"/>
      <w:numFmt w:val="decimal"/>
      <w:lvlText w:val="%1.%2.%3.%4.%5.%6.%7"/>
      <w:lvlJc w:val="left"/>
      <w:pPr>
        <w:tabs>
          <w:tab w:val="num" w:pos="1800"/>
        </w:tabs>
        <w:ind w:left="1800" w:right="1800" w:hanging="1440"/>
      </w:pPr>
      <w:rPr>
        <w:rFonts w:cs="Times New Roman" w:hint="default"/>
      </w:rPr>
    </w:lvl>
    <w:lvl w:ilvl="7">
      <w:start w:val="1"/>
      <w:numFmt w:val="decimal"/>
      <w:lvlText w:val="%1.%2.%3.%4.%5.%6.%7.%8"/>
      <w:lvlJc w:val="left"/>
      <w:pPr>
        <w:tabs>
          <w:tab w:val="num" w:pos="1860"/>
        </w:tabs>
        <w:ind w:left="1860" w:right="1860" w:hanging="1440"/>
      </w:pPr>
      <w:rPr>
        <w:rFonts w:cs="Times New Roman" w:hint="default"/>
      </w:rPr>
    </w:lvl>
    <w:lvl w:ilvl="8">
      <w:start w:val="1"/>
      <w:numFmt w:val="decimal"/>
      <w:lvlText w:val="%1.%2.%3.%4.%5.%6.%7.%8.%9"/>
      <w:lvlJc w:val="left"/>
      <w:pPr>
        <w:tabs>
          <w:tab w:val="num" w:pos="2280"/>
        </w:tabs>
        <w:ind w:left="2280" w:right="2280" w:hanging="1800"/>
      </w:pPr>
      <w:rPr>
        <w:rFonts w:cs="Times New Roman" w:hint="default"/>
      </w:rPr>
    </w:lvl>
  </w:abstractNum>
  <w:abstractNum w:abstractNumId="7">
    <w:nsid w:val="1DCC53AE"/>
    <w:multiLevelType w:val="hybridMultilevel"/>
    <w:tmpl w:val="0D8890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C44295"/>
    <w:multiLevelType w:val="hybridMultilevel"/>
    <w:tmpl w:val="44C6F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D52919"/>
    <w:multiLevelType w:val="hybridMultilevel"/>
    <w:tmpl w:val="A686F5C4"/>
    <w:lvl w:ilvl="0" w:tplc="04090001">
      <w:start w:val="1"/>
      <w:numFmt w:val="bullet"/>
      <w:lvlText w:val=""/>
      <w:lvlJc w:val="left"/>
      <w:pPr>
        <w:ind w:left="654" w:hanging="360"/>
      </w:pPr>
      <w:rPr>
        <w:rFonts w:ascii="Symbol" w:hAnsi="Symbol" w:hint="default"/>
      </w:rPr>
    </w:lvl>
    <w:lvl w:ilvl="1" w:tplc="04090003" w:tentative="1">
      <w:start w:val="1"/>
      <w:numFmt w:val="bullet"/>
      <w:lvlText w:val="o"/>
      <w:lvlJc w:val="left"/>
      <w:pPr>
        <w:ind w:left="1374" w:hanging="360"/>
      </w:pPr>
      <w:rPr>
        <w:rFonts w:ascii="Courier New" w:hAnsi="Courier New" w:cs="Courier New" w:hint="default"/>
      </w:rPr>
    </w:lvl>
    <w:lvl w:ilvl="2" w:tplc="04090005" w:tentative="1">
      <w:start w:val="1"/>
      <w:numFmt w:val="bullet"/>
      <w:lvlText w:val=""/>
      <w:lvlJc w:val="left"/>
      <w:pPr>
        <w:ind w:left="2094" w:hanging="360"/>
      </w:pPr>
      <w:rPr>
        <w:rFonts w:ascii="Wingdings" w:hAnsi="Wingdings" w:hint="default"/>
      </w:rPr>
    </w:lvl>
    <w:lvl w:ilvl="3" w:tplc="04090001" w:tentative="1">
      <w:start w:val="1"/>
      <w:numFmt w:val="bullet"/>
      <w:lvlText w:val=""/>
      <w:lvlJc w:val="left"/>
      <w:pPr>
        <w:ind w:left="2814" w:hanging="360"/>
      </w:pPr>
      <w:rPr>
        <w:rFonts w:ascii="Symbol" w:hAnsi="Symbol" w:hint="default"/>
      </w:rPr>
    </w:lvl>
    <w:lvl w:ilvl="4" w:tplc="04090003" w:tentative="1">
      <w:start w:val="1"/>
      <w:numFmt w:val="bullet"/>
      <w:lvlText w:val="o"/>
      <w:lvlJc w:val="left"/>
      <w:pPr>
        <w:ind w:left="3534" w:hanging="360"/>
      </w:pPr>
      <w:rPr>
        <w:rFonts w:ascii="Courier New" w:hAnsi="Courier New" w:cs="Courier New" w:hint="default"/>
      </w:rPr>
    </w:lvl>
    <w:lvl w:ilvl="5" w:tplc="04090005" w:tentative="1">
      <w:start w:val="1"/>
      <w:numFmt w:val="bullet"/>
      <w:lvlText w:val=""/>
      <w:lvlJc w:val="left"/>
      <w:pPr>
        <w:ind w:left="4254" w:hanging="360"/>
      </w:pPr>
      <w:rPr>
        <w:rFonts w:ascii="Wingdings" w:hAnsi="Wingdings" w:hint="default"/>
      </w:rPr>
    </w:lvl>
    <w:lvl w:ilvl="6" w:tplc="04090001" w:tentative="1">
      <w:start w:val="1"/>
      <w:numFmt w:val="bullet"/>
      <w:lvlText w:val=""/>
      <w:lvlJc w:val="left"/>
      <w:pPr>
        <w:ind w:left="4974" w:hanging="360"/>
      </w:pPr>
      <w:rPr>
        <w:rFonts w:ascii="Symbol" w:hAnsi="Symbol" w:hint="default"/>
      </w:rPr>
    </w:lvl>
    <w:lvl w:ilvl="7" w:tplc="04090003" w:tentative="1">
      <w:start w:val="1"/>
      <w:numFmt w:val="bullet"/>
      <w:lvlText w:val="o"/>
      <w:lvlJc w:val="left"/>
      <w:pPr>
        <w:ind w:left="5694" w:hanging="360"/>
      </w:pPr>
      <w:rPr>
        <w:rFonts w:ascii="Courier New" w:hAnsi="Courier New" w:cs="Courier New" w:hint="default"/>
      </w:rPr>
    </w:lvl>
    <w:lvl w:ilvl="8" w:tplc="04090005" w:tentative="1">
      <w:start w:val="1"/>
      <w:numFmt w:val="bullet"/>
      <w:lvlText w:val=""/>
      <w:lvlJc w:val="left"/>
      <w:pPr>
        <w:ind w:left="6414" w:hanging="360"/>
      </w:pPr>
      <w:rPr>
        <w:rFonts w:ascii="Wingdings" w:hAnsi="Wingdings" w:hint="default"/>
      </w:rPr>
    </w:lvl>
  </w:abstractNum>
  <w:abstractNum w:abstractNumId="10">
    <w:nsid w:val="2FA7474D"/>
    <w:multiLevelType w:val="hybridMultilevel"/>
    <w:tmpl w:val="2B581DC6"/>
    <w:lvl w:ilvl="0" w:tplc="304415BC">
      <w:start w:val="1"/>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36BA3599"/>
    <w:multiLevelType w:val="hybridMultilevel"/>
    <w:tmpl w:val="CE08A726"/>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12">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437C3F28"/>
    <w:multiLevelType w:val="multilevel"/>
    <w:tmpl w:val="53EE4F76"/>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4">
    <w:nsid w:val="4CD667EF"/>
    <w:multiLevelType w:val="hybridMultilevel"/>
    <w:tmpl w:val="2E48ECDC"/>
    <w:lvl w:ilvl="0" w:tplc="1712657A">
      <w:start w:val="2"/>
      <w:numFmt w:val="decimal"/>
      <w:lvlText w:val="%1."/>
      <w:lvlJc w:val="left"/>
      <w:pPr>
        <w:ind w:left="72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5">
    <w:nsid w:val="5DB24430"/>
    <w:multiLevelType w:val="hybridMultilevel"/>
    <w:tmpl w:val="4A8AED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E2E44A9"/>
    <w:multiLevelType w:val="hybridMultilevel"/>
    <w:tmpl w:val="B7CA6BD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640C7836"/>
    <w:multiLevelType w:val="hybridMultilevel"/>
    <w:tmpl w:val="0DDE3F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9E703F1"/>
    <w:multiLevelType w:val="hybridMultilevel"/>
    <w:tmpl w:val="33F0F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D43CEC"/>
    <w:multiLevelType w:val="hybridMultilevel"/>
    <w:tmpl w:val="45F2C6D8"/>
    <w:lvl w:ilvl="0" w:tplc="EBFCA552">
      <w:numFmt w:val="irohaFullWidth"/>
      <w:lvlText w:val="-"/>
      <w:lvlJc w:val="left"/>
      <w:pPr>
        <w:tabs>
          <w:tab w:val="num" w:pos="360"/>
        </w:tabs>
        <w:ind w:left="360" w:right="360" w:hanging="360"/>
      </w:pPr>
      <w:rPr>
        <w:rFonts w:ascii="MS Mincho" w:eastAsia="MS Mincho" w:hAnsi="MS Mincho" w:cs="Simplified Arabic" w:hint="default"/>
      </w:rPr>
    </w:lvl>
    <w:lvl w:ilvl="1" w:tplc="04010003" w:tentative="1">
      <w:start w:val="1"/>
      <w:numFmt w:val="bullet"/>
      <w:lvlText w:val="o"/>
      <w:lvlJc w:val="left"/>
      <w:pPr>
        <w:tabs>
          <w:tab w:val="num" w:pos="360"/>
        </w:tabs>
        <w:ind w:left="360" w:right="360" w:hanging="360"/>
      </w:pPr>
      <w:rPr>
        <w:rFonts w:ascii="Courier New" w:hAnsi="Courier New" w:hint="default"/>
      </w:rPr>
    </w:lvl>
    <w:lvl w:ilvl="2" w:tplc="04010005" w:tentative="1">
      <w:start w:val="1"/>
      <w:numFmt w:val="bullet"/>
      <w:lvlText w:val=""/>
      <w:lvlJc w:val="left"/>
      <w:pPr>
        <w:tabs>
          <w:tab w:val="num" w:pos="1080"/>
        </w:tabs>
        <w:ind w:left="1080" w:right="1080" w:hanging="360"/>
      </w:pPr>
      <w:rPr>
        <w:rFonts w:ascii="Wingdings" w:hAnsi="Wingdings" w:hint="default"/>
      </w:rPr>
    </w:lvl>
    <w:lvl w:ilvl="3" w:tplc="04010001" w:tentative="1">
      <w:start w:val="1"/>
      <w:numFmt w:val="bullet"/>
      <w:lvlText w:val=""/>
      <w:lvlJc w:val="left"/>
      <w:pPr>
        <w:tabs>
          <w:tab w:val="num" w:pos="1800"/>
        </w:tabs>
        <w:ind w:left="1800" w:right="1800" w:hanging="360"/>
      </w:pPr>
      <w:rPr>
        <w:rFonts w:ascii="Symbol" w:hAnsi="Symbol" w:hint="default"/>
      </w:rPr>
    </w:lvl>
    <w:lvl w:ilvl="4" w:tplc="04010003" w:tentative="1">
      <w:start w:val="1"/>
      <w:numFmt w:val="bullet"/>
      <w:lvlText w:val="o"/>
      <w:lvlJc w:val="left"/>
      <w:pPr>
        <w:tabs>
          <w:tab w:val="num" w:pos="2520"/>
        </w:tabs>
        <w:ind w:left="2520" w:right="2520" w:hanging="360"/>
      </w:pPr>
      <w:rPr>
        <w:rFonts w:ascii="Courier New" w:hAnsi="Courier New" w:hint="default"/>
      </w:rPr>
    </w:lvl>
    <w:lvl w:ilvl="5" w:tplc="04010005" w:tentative="1">
      <w:start w:val="1"/>
      <w:numFmt w:val="bullet"/>
      <w:lvlText w:val=""/>
      <w:lvlJc w:val="left"/>
      <w:pPr>
        <w:tabs>
          <w:tab w:val="num" w:pos="3240"/>
        </w:tabs>
        <w:ind w:left="3240" w:right="3240" w:hanging="360"/>
      </w:pPr>
      <w:rPr>
        <w:rFonts w:ascii="Wingdings" w:hAnsi="Wingdings" w:hint="default"/>
      </w:rPr>
    </w:lvl>
    <w:lvl w:ilvl="6" w:tplc="04010001" w:tentative="1">
      <w:start w:val="1"/>
      <w:numFmt w:val="bullet"/>
      <w:lvlText w:val=""/>
      <w:lvlJc w:val="left"/>
      <w:pPr>
        <w:tabs>
          <w:tab w:val="num" w:pos="3960"/>
        </w:tabs>
        <w:ind w:left="3960" w:right="3960" w:hanging="360"/>
      </w:pPr>
      <w:rPr>
        <w:rFonts w:ascii="Symbol" w:hAnsi="Symbol" w:hint="default"/>
      </w:rPr>
    </w:lvl>
    <w:lvl w:ilvl="7" w:tplc="04010003" w:tentative="1">
      <w:start w:val="1"/>
      <w:numFmt w:val="bullet"/>
      <w:lvlText w:val="o"/>
      <w:lvlJc w:val="left"/>
      <w:pPr>
        <w:tabs>
          <w:tab w:val="num" w:pos="4680"/>
        </w:tabs>
        <w:ind w:left="4680" w:right="4680" w:hanging="360"/>
      </w:pPr>
      <w:rPr>
        <w:rFonts w:ascii="Courier New" w:hAnsi="Courier New" w:hint="default"/>
      </w:rPr>
    </w:lvl>
    <w:lvl w:ilvl="8" w:tplc="04010005" w:tentative="1">
      <w:start w:val="1"/>
      <w:numFmt w:val="bullet"/>
      <w:lvlText w:val=""/>
      <w:lvlJc w:val="left"/>
      <w:pPr>
        <w:tabs>
          <w:tab w:val="num" w:pos="5400"/>
        </w:tabs>
        <w:ind w:left="5400" w:right="5400" w:hanging="360"/>
      </w:pPr>
      <w:rPr>
        <w:rFonts w:ascii="Wingdings" w:hAnsi="Wingdings" w:hint="default"/>
      </w:rPr>
    </w:lvl>
  </w:abstractNum>
  <w:abstractNum w:abstractNumId="21">
    <w:nsid w:val="76613E41"/>
    <w:multiLevelType w:val="hybridMultilevel"/>
    <w:tmpl w:val="117C38A2"/>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77A1281F"/>
    <w:multiLevelType w:val="multilevel"/>
    <w:tmpl w:val="A87AF236"/>
    <w:lvl w:ilvl="0">
      <w:start w:val="1"/>
      <w:numFmt w:val="decimal"/>
      <w:lvlText w:val="%1"/>
      <w:lvlJc w:val="left"/>
      <w:pPr>
        <w:ind w:left="360" w:hanging="360"/>
      </w:pPr>
      <w:rPr>
        <w:rFonts w:hint="default"/>
      </w:rPr>
    </w:lvl>
    <w:lvl w:ilvl="1">
      <w:start w:val="2"/>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3">
    <w:nsid w:val="7D725C0A"/>
    <w:multiLevelType w:val="hybridMultilevel"/>
    <w:tmpl w:val="444212C8"/>
    <w:lvl w:ilvl="0" w:tplc="0401000F">
      <w:start w:val="4"/>
      <w:numFmt w:val="decimal"/>
      <w:lvlText w:val="%1."/>
      <w:lvlJc w:val="left"/>
      <w:pPr>
        <w:tabs>
          <w:tab w:val="num" w:pos="360"/>
        </w:tabs>
        <w:ind w:left="360" w:right="360" w:hanging="360"/>
      </w:pPr>
      <w:rPr>
        <w:rFonts w:hint="default"/>
      </w:rPr>
    </w:lvl>
    <w:lvl w:ilvl="1" w:tplc="04010019">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num w:numId="1">
    <w:abstractNumId w:val="5"/>
  </w:num>
  <w:num w:numId="2">
    <w:abstractNumId w:val="17"/>
  </w:num>
  <w:num w:numId="3">
    <w:abstractNumId w:val="0"/>
  </w:num>
  <w:num w:numId="4">
    <w:abstractNumId w:val="2"/>
  </w:num>
  <w:num w:numId="5">
    <w:abstractNumId w:val="21"/>
  </w:num>
  <w:num w:numId="6">
    <w:abstractNumId w:val="16"/>
  </w:num>
  <w:num w:numId="7">
    <w:abstractNumId w:val="6"/>
  </w:num>
  <w:num w:numId="8">
    <w:abstractNumId w:val="20"/>
  </w:num>
  <w:num w:numId="9">
    <w:abstractNumId w:val="23"/>
  </w:num>
  <w:num w:numId="10">
    <w:abstractNumId w:val="13"/>
  </w:num>
  <w:num w:numId="11">
    <w:abstractNumId w:val="3"/>
  </w:num>
  <w:num w:numId="12">
    <w:abstractNumId w:val="11"/>
  </w:num>
  <w:num w:numId="13">
    <w:abstractNumId w:val="12"/>
  </w:num>
  <w:num w:numId="14">
    <w:abstractNumId w:val="22"/>
  </w:num>
  <w:num w:numId="15">
    <w:abstractNumId w:val="10"/>
  </w:num>
  <w:num w:numId="16">
    <w:abstractNumId w:val="18"/>
  </w:num>
  <w:num w:numId="17">
    <w:abstractNumId w:val="1"/>
  </w:num>
  <w:num w:numId="18">
    <w:abstractNumId w:val="7"/>
  </w:num>
  <w:num w:numId="19">
    <w:abstractNumId w:val="19"/>
  </w:num>
  <w:num w:numId="20">
    <w:abstractNumId w:val="4"/>
  </w:num>
  <w:num w:numId="21">
    <w:abstractNumId w:val="14"/>
  </w:num>
  <w:num w:numId="22">
    <w:abstractNumId w:val="8"/>
  </w:num>
  <w:num w:numId="23">
    <w:abstractNumId w:val="15"/>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noPunctuationKerning/>
  <w:characterSpacingControl w:val="doNotCompress"/>
  <w:footnotePr>
    <w:footnote w:id="-1"/>
    <w:footnote w:id="0"/>
  </w:footnotePr>
  <w:endnotePr>
    <w:endnote w:id="-1"/>
    <w:endnote w:id="0"/>
  </w:endnotePr>
  <w:compat/>
  <w:rsids>
    <w:rsidRoot w:val="00672F7C"/>
    <w:rsid w:val="00000F3A"/>
    <w:rsid w:val="0000109D"/>
    <w:rsid w:val="000022A7"/>
    <w:rsid w:val="0000630A"/>
    <w:rsid w:val="00006BF2"/>
    <w:rsid w:val="00010412"/>
    <w:rsid w:val="00013391"/>
    <w:rsid w:val="00015166"/>
    <w:rsid w:val="00015D61"/>
    <w:rsid w:val="00017585"/>
    <w:rsid w:val="00020BD5"/>
    <w:rsid w:val="0002184F"/>
    <w:rsid w:val="00021E4F"/>
    <w:rsid w:val="0002523F"/>
    <w:rsid w:val="000276AB"/>
    <w:rsid w:val="00030B4B"/>
    <w:rsid w:val="000322EA"/>
    <w:rsid w:val="00035256"/>
    <w:rsid w:val="00037F14"/>
    <w:rsid w:val="000425D6"/>
    <w:rsid w:val="00045972"/>
    <w:rsid w:val="0005070B"/>
    <w:rsid w:val="00052FC9"/>
    <w:rsid w:val="000541B8"/>
    <w:rsid w:val="00056CDC"/>
    <w:rsid w:val="00056F65"/>
    <w:rsid w:val="00060D5A"/>
    <w:rsid w:val="00065BA0"/>
    <w:rsid w:val="00067740"/>
    <w:rsid w:val="0007072F"/>
    <w:rsid w:val="000738D2"/>
    <w:rsid w:val="00075E64"/>
    <w:rsid w:val="0007627E"/>
    <w:rsid w:val="00077AA3"/>
    <w:rsid w:val="00081908"/>
    <w:rsid w:val="00081D89"/>
    <w:rsid w:val="00086A3C"/>
    <w:rsid w:val="00092B71"/>
    <w:rsid w:val="00093358"/>
    <w:rsid w:val="00095FA9"/>
    <w:rsid w:val="000976CC"/>
    <w:rsid w:val="000A1279"/>
    <w:rsid w:val="000A219C"/>
    <w:rsid w:val="000A5700"/>
    <w:rsid w:val="000A68BE"/>
    <w:rsid w:val="000A6FA1"/>
    <w:rsid w:val="000B0334"/>
    <w:rsid w:val="000B04A2"/>
    <w:rsid w:val="000B13DB"/>
    <w:rsid w:val="000B2807"/>
    <w:rsid w:val="000B3123"/>
    <w:rsid w:val="000B4A73"/>
    <w:rsid w:val="000B66F2"/>
    <w:rsid w:val="000B7FA7"/>
    <w:rsid w:val="000C3A83"/>
    <w:rsid w:val="000C58FD"/>
    <w:rsid w:val="000C673C"/>
    <w:rsid w:val="000D0481"/>
    <w:rsid w:val="000D11DF"/>
    <w:rsid w:val="000D3495"/>
    <w:rsid w:val="000D7A5F"/>
    <w:rsid w:val="000E0259"/>
    <w:rsid w:val="000E1F03"/>
    <w:rsid w:val="000E1FC8"/>
    <w:rsid w:val="000E25B3"/>
    <w:rsid w:val="000E3116"/>
    <w:rsid w:val="000E455B"/>
    <w:rsid w:val="000E4D67"/>
    <w:rsid w:val="000E532A"/>
    <w:rsid w:val="000E560A"/>
    <w:rsid w:val="000E5E99"/>
    <w:rsid w:val="000E676C"/>
    <w:rsid w:val="000F13E4"/>
    <w:rsid w:val="000F3BFD"/>
    <w:rsid w:val="000F5D0C"/>
    <w:rsid w:val="00101027"/>
    <w:rsid w:val="0011085E"/>
    <w:rsid w:val="001109D1"/>
    <w:rsid w:val="00112D91"/>
    <w:rsid w:val="00113DE1"/>
    <w:rsid w:val="00115557"/>
    <w:rsid w:val="0011557E"/>
    <w:rsid w:val="001171F6"/>
    <w:rsid w:val="001200F1"/>
    <w:rsid w:val="001228C5"/>
    <w:rsid w:val="00126D59"/>
    <w:rsid w:val="0012717F"/>
    <w:rsid w:val="00130C20"/>
    <w:rsid w:val="0013282A"/>
    <w:rsid w:val="00133051"/>
    <w:rsid w:val="00135117"/>
    <w:rsid w:val="001432C9"/>
    <w:rsid w:val="00143C47"/>
    <w:rsid w:val="001479BB"/>
    <w:rsid w:val="0015429E"/>
    <w:rsid w:val="00154CCF"/>
    <w:rsid w:val="00164173"/>
    <w:rsid w:val="00167827"/>
    <w:rsid w:val="00172DB1"/>
    <w:rsid w:val="001747B8"/>
    <w:rsid w:val="00182C55"/>
    <w:rsid w:val="00183FE2"/>
    <w:rsid w:val="001841CC"/>
    <w:rsid w:val="00186D9B"/>
    <w:rsid w:val="00190FBD"/>
    <w:rsid w:val="00197778"/>
    <w:rsid w:val="00197BCC"/>
    <w:rsid w:val="001A3445"/>
    <w:rsid w:val="001A39FA"/>
    <w:rsid w:val="001B6EC7"/>
    <w:rsid w:val="001B7404"/>
    <w:rsid w:val="001C3D7A"/>
    <w:rsid w:val="001C605A"/>
    <w:rsid w:val="001D5983"/>
    <w:rsid w:val="001E4703"/>
    <w:rsid w:val="001E5082"/>
    <w:rsid w:val="001F1335"/>
    <w:rsid w:val="001F5B9F"/>
    <w:rsid w:val="00200DB3"/>
    <w:rsid w:val="00201E4D"/>
    <w:rsid w:val="0020242F"/>
    <w:rsid w:val="0020302D"/>
    <w:rsid w:val="00203B09"/>
    <w:rsid w:val="00204291"/>
    <w:rsid w:val="0020444F"/>
    <w:rsid w:val="00210865"/>
    <w:rsid w:val="002108CE"/>
    <w:rsid w:val="00211DE6"/>
    <w:rsid w:val="0022528B"/>
    <w:rsid w:val="00225CC0"/>
    <w:rsid w:val="00225E7F"/>
    <w:rsid w:val="002260FF"/>
    <w:rsid w:val="002261C8"/>
    <w:rsid w:val="002264AA"/>
    <w:rsid w:val="00234071"/>
    <w:rsid w:val="00241054"/>
    <w:rsid w:val="002414FF"/>
    <w:rsid w:val="00243C1E"/>
    <w:rsid w:val="00245D39"/>
    <w:rsid w:val="00250455"/>
    <w:rsid w:val="002507CE"/>
    <w:rsid w:val="00250BBE"/>
    <w:rsid w:val="002515AA"/>
    <w:rsid w:val="002565E3"/>
    <w:rsid w:val="00257630"/>
    <w:rsid w:val="00260CFE"/>
    <w:rsid w:val="002610DD"/>
    <w:rsid w:val="0026247A"/>
    <w:rsid w:val="00262BFD"/>
    <w:rsid w:val="00264D99"/>
    <w:rsid w:val="00271D1E"/>
    <w:rsid w:val="0027460D"/>
    <w:rsid w:val="0027667E"/>
    <w:rsid w:val="002767BA"/>
    <w:rsid w:val="00277101"/>
    <w:rsid w:val="00281B89"/>
    <w:rsid w:val="00282E87"/>
    <w:rsid w:val="00291493"/>
    <w:rsid w:val="00297681"/>
    <w:rsid w:val="002A2262"/>
    <w:rsid w:val="002A5C7B"/>
    <w:rsid w:val="002A7E25"/>
    <w:rsid w:val="002B0D9C"/>
    <w:rsid w:val="002B170B"/>
    <w:rsid w:val="002B524D"/>
    <w:rsid w:val="002C1BD2"/>
    <w:rsid w:val="002C37BE"/>
    <w:rsid w:val="002C68BE"/>
    <w:rsid w:val="002C6BA5"/>
    <w:rsid w:val="002C7699"/>
    <w:rsid w:val="002D1471"/>
    <w:rsid w:val="002D3690"/>
    <w:rsid w:val="002D5A9F"/>
    <w:rsid w:val="002E04B7"/>
    <w:rsid w:val="002E1197"/>
    <w:rsid w:val="002E46F5"/>
    <w:rsid w:val="002E72BE"/>
    <w:rsid w:val="003032DE"/>
    <w:rsid w:val="003057FF"/>
    <w:rsid w:val="0031063E"/>
    <w:rsid w:val="00310E5F"/>
    <w:rsid w:val="00311AD1"/>
    <w:rsid w:val="00312950"/>
    <w:rsid w:val="00312C83"/>
    <w:rsid w:val="00312F0E"/>
    <w:rsid w:val="00313C34"/>
    <w:rsid w:val="00315099"/>
    <w:rsid w:val="0031558F"/>
    <w:rsid w:val="00316B6E"/>
    <w:rsid w:val="0032133D"/>
    <w:rsid w:val="003223B1"/>
    <w:rsid w:val="00324C0D"/>
    <w:rsid w:val="00327E05"/>
    <w:rsid w:val="00336207"/>
    <w:rsid w:val="003374BD"/>
    <w:rsid w:val="003413EF"/>
    <w:rsid w:val="003418EE"/>
    <w:rsid w:val="00341C0E"/>
    <w:rsid w:val="003450A8"/>
    <w:rsid w:val="003478D5"/>
    <w:rsid w:val="003520B0"/>
    <w:rsid w:val="003521B4"/>
    <w:rsid w:val="00352E72"/>
    <w:rsid w:val="00353657"/>
    <w:rsid w:val="00360AF8"/>
    <w:rsid w:val="00370DDC"/>
    <w:rsid w:val="0037226B"/>
    <w:rsid w:val="0037241E"/>
    <w:rsid w:val="00374B6E"/>
    <w:rsid w:val="003757C3"/>
    <w:rsid w:val="00376DF2"/>
    <w:rsid w:val="003778FD"/>
    <w:rsid w:val="00381EC8"/>
    <w:rsid w:val="0038513E"/>
    <w:rsid w:val="00390A33"/>
    <w:rsid w:val="00392A69"/>
    <w:rsid w:val="003948A0"/>
    <w:rsid w:val="00396593"/>
    <w:rsid w:val="0039703C"/>
    <w:rsid w:val="003A4E37"/>
    <w:rsid w:val="003A4EE8"/>
    <w:rsid w:val="003A7559"/>
    <w:rsid w:val="003B186D"/>
    <w:rsid w:val="003B227B"/>
    <w:rsid w:val="003B2F72"/>
    <w:rsid w:val="003B67C8"/>
    <w:rsid w:val="003C37CB"/>
    <w:rsid w:val="003C3994"/>
    <w:rsid w:val="003D09F4"/>
    <w:rsid w:val="003D0A57"/>
    <w:rsid w:val="003D0AA6"/>
    <w:rsid w:val="003D18E4"/>
    <w:rsid w:val="003D5FBE"/>
    <w:rsid w:val="003D623B"/>
    <w:rsid w:val="003E06D2"/>
    <w:rsid w:val="003E16BF"/>
    <w:rsid w:val="003E3DB4"/>
    <w:rsid w:val="003E47B3"/>
    <w:rsid w:val="003E6D63"/>
    <w:rsid w:val="003F1B6E"/>
    <w:rsid w:val="003F4EAA"/>
    <w:rsid w:val="003F73C8"/>
    <w:rsid w:val="004041DC"/>
    <w:rsid w:val="0040690F"/>
    <w:rsid w:val="00407D44"/>
    <w:rsid w:val="0041023E"/>
    <w:rsid w:val="00412A29"/>
    <w:rsid w:val="0041420E"/>
    <w:rsid w:val="004166FD"/>
    <w:rsid w:val="00420611"/>
    <w:rsid w:val="004236B1"/>
    <w:rsid w:val="00425918"/>
    <w:rsid w:val="00430449"/>
    <w:rsid w:val="00430EA6"/>
    <w:rsid w:val="004323AD"/>
    <w:rsid w:val="0043536D"/>
    <w:rsid w:val="004353D5"/>
    <w:rsid w:val="00441908"/>
    <w:rsid w:val="004436F8"/>
    <w:rsid w:val="00443834"/>
    <w:rsid w:val="004440AF"/>
    <w:rsid w:val="004446E7"/>
    <w:rsid w:val="004472CA"/>
    <w:rsid w:val="00450A3F"/>
    <w:rsid w:val="00452110"/>
    <w:rsid w:val="00452237"/>
    <w:rsid w:val="00454C8F"/>
    <w:rsid w:val="00455242"/>
    <w:rsid w:val="0046068E"/>
    <w:rsid w:val="00461B79"/>
    <w:rsid w:val="004635CD"/>
    <w:rsid w:val="00464DEE"/>
    <w:rsid w:val="00464F92"/>
    <w:rsid w:val="004664FA"/>
    <w:rsid w:val="00466790"/>
    <w:rsid w:val="00467E57"/>
    <w:rsid w:val="0047147D"/>
    <w:rsid w:val="00471C8A"/>
    <w:rsid w:val="004734FD"/>
    <w:rsid w:val="00473834"/>
    <w:rsid w:val="00474924"/>
    <w:rsid w:val="00477A55"/>
    <w:rsid w:val="0048096C"/>
    <w:rsid w:val="00482C36"/>
    <w:rsid w:val="00487C2F"/>
    <w:rsid w:val="00494E95"/>
    <w:rsid w:val="00495518"/>
    <w:rsid w:val="004957A2"/>
    <w:rsid w:val="004A1A9F"/>
    <w:rsid w:val="004A2A55"/>
    <w:rsid w:val="004A61BD"/>
    <w:rsid w:val="004A6757"/>
    <w:rsid w:val="004B320F"/>
    <w:rsid w:val="004B47BC"/>
    <w:rsid w:val="004B5838"/>
    <w:rsid w:val="004B6320"/>
    <w:rsid w:val="004B68C5"/>
    <w:rsid w:val="004B71EA"/>
    <w:rsid w:val="004C147C"/>
    <w:rsid w:val="004C38EC"/>
    <w:rsid w:val="004C4932"/>
    <w:rsid w:val="004C5A71"/>
    <w:rsid w:val="004D65A0"/>
    <w:rsid w:val="004D6ED0"/>
    <w:rsid w:val="004D7FD2"/>
    <w:rsid w:val="004E1554"/>
    <w:rsid w:val="004E2E9B"/>
    <w:rsid w:val="004E43AF"/>
    <w:rsid w:val="004F3AAF"/>
    <w:rsid w:val="004F4741"/>
    <w:rsid w:val="005007AD"/>
    <w:rsid w:val="00504475"/>
    <w:rsid w:val="005047EA"/>
    <w:rsid w:val="00512A9A"/>
    <w:rsid w:val="0051410B"/>
    <w:rsid w:val="005161CD"/>
    <w:rsid w:val="00517073"/>
    <w:rsid w:val="00517578"/>
    <w:rsid w:val="0052283D"/>
    <w:rsid w:val="00523F0E"/>
    <w:rsid w:val="0052418E"/>
    <w:rsid w:val="00524686"/>
    <w:rsid w:val="00525E0E"/>
    <w:rsid w:val="005264F2"/>
    <w:rsid w:val="00527E14"/>
    <w:rsid w:val="005316C1"/>
    <w:rsid w:val="00535A77"/>
    <w:rsid w:val="00545DB4"/>
    <w:rsid w:val="00545E3F"/>
    <w:rsid w:val="0054766D"/>
    <w:rsid w:val="00551EAF"/>
    <w:rsid w:val="00551F9B"/>
    <w:rsid w:val="00555C8D"/>
    <w:rsid w:val="005571FE"/>
    <w:rsid w:val="00562A1F"/>
    <w:rsid w:val="00564C3E"/>
    <w:rsid w:val="00565860"/>
    <w:rsid w:val="00565F19"/>
    <w:rsid w:val="0056633B"/>
    <w:rsid w:val="00566A48"/>
    <w:rsid w:val="00566E92"/>
    <w:rsid w:val="00570A12"/>
    <w:rsid w:val="005720D7"/>
    <w:rsid w:val="005740B9"/>
    <w:rsid w:val="00577880"/>
    <w:rsid w:val="005801E6"/>
    <w:rsid w:val="00581535"/>
    <w:rsid w:val="005817DD"/>
    <w:rsid w:val="00582357"/>
    <w:rsid w:val="0058345C"/>
    <w:rsid w:val="00584075"/>
    <w:rsid w:val="00586A71"/>
    <w:rsid w:val="0059096F"/>
    <w:rsid w:val="005942D9"/>
    <w:rsid w:val="005949F0"/>
    <w:rsid w:val="005A0F60"/>
    <w:rsid w:val="005A0FDC"/>
    <w:rsid w:val="005A3D1E"/>
    <w:rsid w:val="005A40FB"/>
    <w:rsid w:val="005A49DD"/>
    <w:rsid w:val="005A6691"/>
    <w:rsid w:val="005A78A4"/>
    <w:rsid w:val="005B4620"/>
    <w:rsid w:val="005C1D84"/>
    <w:rsid w:val="005C6040"/>
    <w:rsid w:val="005C78FA"/>
    <w:rsid w:val="005D2C78"/>
    <w:rsid w:val="005D5B48"/>
    <w:rsid w:val="005D6073"/>
    <w:rsid w:val="005D6EAB"/>
    <w:rsid w:val="005E09F6"/>
    <w:rsid w:val="005E0E7A"/>
    <w:rsid w:val="005E0F13"/>
    <w:rsid w:val="005E147F"/>
    <w:rsid w:val="005E2815"/>
    <w:rsid w:val="005E4004"/>
    <w:rsid w:val="005E5263"/>
    <w:rsid w:val="005E5EFB"/>
    <w:rsid w:val="005F05D5"/>
    <w:rsid w:val="005F083F"/>
    <w:rsid w:val="005F0A00"/>
    <w:rsid w:val="005F124C"/>
    <w:rsid w:val="005F1821"/>
    <w:rsid w:val="005F2BB2"/>
    <w:rsid w:val="005F5139"/>
    <w:rsid w:val="005F520E"/>
    <w:rsid w:val="005F65BF"/>
    <w:rsid w:val="0060026D"/>
    <w:rsid w:val="00600E94"/>
    <w:rsid w:val="00601285"/>
    <w:rsid w:val="006019F4"/>
    <w:rsid w:val="00606743"/>
    <w:rsid w:val="00606CAE"/>
    <w:rsid w:val="00610C0E"/>
    <w:rsid w:val="00612663"/>
    <w:rsid w:val="0061292C"/>
    <w:rsid w:val="0061531B"/>
    <w:rsid w:val="00615FF9"/>
    <w:rsid w:val="006177F8"/>
    <w:rsid w:val="0062254D"/>
    <w:rsid w:val="006276E6"/>
    <w:rsid w:val="006304FC"/>
    <w:rsid w:val="00630C8C"/>
    <w:rsid w:val="00632E75"/>
    <w:rsid w:val="00633E53"/>
    <w:rsid w:val="006349E0"/>
    <w:rsid w:val="00636707"/>
    <w:rsid w:val="00641975"/>
    <w:rsid w:val="00642B9B"/>
    <w:rsid w:val="00642F81"/>
    <w:rsid w:val="00650DD6"/>
    <w:rsid w:val="0065169E"/>
    <w:rsid w:val="00653FFE"/>
    <w:rsid w:val="00654A25"/>
    <w:rsid w:val="00656CC0"/>
    <w:rsid w:val="00661FB0"/>
    <w:rsid w:val="006638D3"/>
    <w:rsid w:val="006654FA"/>
    <w:rsid w:val="0066659C"/>
    <w:rsid w:val="006702A5"/>
    <w:rsid w:val="00670B43"/>
    <w:rsid w:val="006721B2"/>
    <w:rsid w:val="006721F5"/>
    <w:rsid w:val="00672F34"/>
    <w:rsid w:val="00672F7C"/>
    <w:rsid w:val="006751DE"/>
    <w:rsid w:val="00681141"/>
    <w:rsid w:val="00683CE8"/>
    <w:rsid w:val="00685B7E"/>
    <w:rsid w:val="00686AA3"/>
    <w:rsid w:val="00693A3F"/>
    <w:rsid w:val="006946AC"/>
    <w:rsid w:val="006948CF"/>
    <w:rsid w:val="006A1E1F"/>
    <w:rsid w:val="006A32E6"/>
    <w:rsid w:val="006A3B9C"/>
    <w:rsid w:val="006A4942"/>
    <w:rsid w:val="006A6B61"/>
    <w:rsid w:val="006A73B8"/>
    <w:rsid w:val="006A77B6"/>
    <w:rsid w:val="006A7F15"/>
    <w:rsid w:val="006B56BF"/>
    <w:rsid w:val="006B5A1B"/>
    <w:rsid w:val="006B6189"/>
    <w:rsid w:val="006B76B9"/>
    <w:rsid w:val="006C28FF"/>
    <w:rsid w:val="006C4652"/>
    <w:rsid w:val="006D76DF"/>
    <w:rsid w:val="006E29AC"/>
    <w:rsid w:val="006E6C95"/>
    <w:rsid w:val="006E76ED"/>
    <w:rsid w:val="006E7940"/>
    <w:rsid w:val="006F5065"/>
    <w:rsid w:val="006F7FAC"/>
    <w:rsid w:val="00700F2F"/>
    <w:rsid w:val="007041AD"/>
    <w:rsid w:val="00705139"/>
    <w:rsid w:val="00705661"/>
    <w:rsid w:val="00710B54"/>
    <w:rsid w:val="00715037"/>
    <w:rsid w:val="00716FBD"/>
    <w:rsid w:val="007218F1"/>
    <w:rsid w:val="00725E7A"/>
    <w:rsid w:val="007340B6"/>
    <w:rsid w:val="007428BD"/>
    <w:rsid w:val="007441BB"/>
    <w:rsid w:val="007458D6"/>
    <w:rsid w:val="0074739F"/>
    <w:rsid w:val="00751D89"/>
    <w:rsid w:val="00753005"/>
    <w:rsid w:val="00757772"/>
    <w:rsid w:val="0076586D"/>
    <w:rsid w:val="0076621F"/>
    <w:rsid w:val="00767065"/>
    <w:rsid w:val="007671E8"/>
    <w:rsid w:val="00771E88"/>
    <w:rsid w:val="00772EFC"/>
    <w:rsid w:val="00773E99"/>
    <w:rsid w:val="00776E26"/>
    <w:rsid w:val="00784A36"/>
    <w:rsid w:val="00784D78"/>
    <w:rsid w:val="00791236"/>
    <w:rsid w:val="00794F9D"/>
    <w:rsid w:val="00795C14"/>
    <w:rsid w:val="007A1F86"/>
    <w:rsid w:val="007A64FC"/>
    <w:rsid w:val="007B2512"/>
    <w:rsid w:val="007B3BF7"/>
    <w:rsid w:val="007B4649"/>
    <w:rsid w:val="007B5DFE"/>
    <w:rsid w:val="007C0CDF"/>
    <w:rsid w:val="007C23CA"/>
    <w:rsid w:val="007C2712"/>
    <w:rsid w:val="007C4363"/>
    <w:rsid w:val="007C592F"/>
    <w:rsid w:val="007D383D"/>
    <w:rsid w:val="007D3B80"/>
    <w:rsid w:val="007D58D2"/>
    <w:rsid w:val="007D6CA0"/>
    <w:rsid w:val="007E3726"/>
    <w:rsid w:val="007E685A"/>
    <w:rsid w:val="007F12D3"/>
    <w:rsid w:val="007F25BD"/>
    <w:rsid w:val="007F33D9"/>
    <w:rsid w:val="007F51EF"/>
    <w:rsid w:val="007F693A"/>
    <w:rsid w:val="007F6CF1"/>
    <w:rsid w:val="007F7831"/>
    <w:rsid w:val="007F7C49"/>
    <w:rsid w:val="00802D74"/>
    <w:rsid w:val="00805626"/>
    <w:rsid w:val="008072EA"/>
    <w:rsid w:val="00811555"/>
    <w:rsid w:val="00811D78"/>
    <w:rsid w:val="00812B72"/>
    <w:rsid w:val="00813035"/>
    <w:rsid w:val="00813B70"/>
    <w:rsid w:val="00813E2D"/>
    <w:rsid w:val="00813F6D"/>
    <w:rsid w:val="00815410"/>
    <w:rsid w:val="008158FA"/>
    <w:rsid w:val="00815CAB"/>
    <w:rsid w:val="0082038F"/>
    <w:rsid w:val="00820E11"/>
    <w:rsid w:val="00822598"/>
    <w:rsid w:val="00822A81"/>
    <w:rsid w:val="00826450"/>
    <w:rsid w:val="008337DC"/>
    <w:rsid w:val="00841B58"/>
    <w:rsid w:val="00845DDB"/>
    <w:rsid w:val="00850041"/>
    <w:rsid w:val="008504EA"/>
    <w:rsid w:val="00852769"/>
    <w:rsid w:val="00856145"/>
    <w:rsid w:val="00856E25"/>
    <w:rsid w:val="00857B12"/>
    <w:rsid w:val="008617E8"/>
    <w:rsid w:val="008737C2"/>
    <w:rsid w:val="00875438"/>
    <w:rsid w:val="00876945"/>
    <w:rsid w:val="0087733A"/>
    <w:rsid w:val="0087764A"/>
    <w:rsid w:val="0088366F"/>
    <w:rsid w:val="008915E2"/>
    <w:rsid w:val="0089176B"/>
    <w:rsid w:val="00891901"/>
    <w:rsid w:val="00892137"/>
    <w:rsid w:val="008927C7"/>
    <w:rsid w:val="008A171D"/>
    <w:rsid w:val="008A3F17"/>
    <w:rsid w:val="008A5891"/>
    <w:rsid w:val="008A59B9"/>
    <w:rsid w:val="008A615B"/>
    <w:rsid w:val="008B0FC4"/>
    <w:rsid w:val="008B1183"/>
    <w:rsid w:val="008B17D3"/>
    <w:rsid w:val="008B5446"/>
    <w:rsid w:val="008C1A2A"/>
    <w:rsid w:val="008C2305"/>
    <w:rsid w:val="008C361B"/>
    <w:rsid w:val="008D37A5"/>
    <w:rsid w:val="008D3B5A"/>
    <w:rsid w:val="008D407A"/>
    <w:rsid w:val="008D7623"/>
    <w:rsid w:val="008D7FE6"/>
    <w:rsid w:val="008E0448"/>
    <w:rsid w:val="008E1036"/>
    <w:rsid w:val="008E506E"/>
    <w:rsid w:val="008E5118"/>
    <w:rsid w:val="008E60BA"/>
    <w:rsid w:val="008F294F"/>
    <w:rsid w:val="008F2BCB"/>
    <w:rsid w:val="008F6F53"/>
    <w:rsid w:val="008F7DAF"/>
    <w:rsid w:val="0090089C"/>
    <w:rsid w:val="00901EE9"/>
    <w:rsid w:val="00904139"/>
    <w:rsid w:val="009045E8"/>
    <w:rsid w:val="009047CE"/>
    <w:rsid w:val="00904D4D"/>
    <w:rsid w:val="009062A9"/>
    <w:rsid w:val="00913970"/>
    <w:rsid w:val="009149F4"/>
    <w:rsid w:val="00920BE0"/>
    <w:rsid w:val="00921404"/>
    <w:rsid w:val="00921D12"/>
    <w:rsid w:val="00922A1D"/>
    <w:rsid w:val="00924697"/>
    <w:rsid w:val="00925BF8"/>
    <w:rsid w:val="00926B67"/>
    <w:rsid w:val="00930E59"/>
    <w:rsid w:val="00931895"/>
    <w:rsid w:val="00942987"/>
    <w:rsid w:val="00944F60"/>
    <w:rsid w:val="009473BD"/>
    <w:rsid w:val="00957164"/>
    <w:rsid w:val="00957F97"/>
    <w:rsid w:val="0096053D"/>
    <w:rsid w:val="00964868"/>
    <w:rsid w:val="009655C2"/>
    <w:rsid w:val="00967F67"/>
    <w:rsid w:val="00971331"/>
    <w:rsid w:val="00971DBE"/>
    <w:rsid w:val="0097260F"/>
    <w:rsid w:val="00973FEE"/>
    <w:rsid w:val="00981D3A"/>
    <w:rsid w:val="009820FF"/>
    <w:rsid w:val="00983D95"/>
    <w:rsid w:val="009857A8"/>
    <w:rsid w:val="00991F5A"/>
    <w:rsid w:val="0099348D"/>
    <w:rsid w:val="00993939"/>
    <w:rsid w:val="00995606"/>
    <w:rsid w:val="00995DA9"/>
    <w:rsid w:val="009967D6"/>
    <w:rsid w:val="009A0F81"/>
    <w:rsid w:val="009A221B"/>
    <w:rsid w:val="009A2B95"/>
    <w:rsid w:val="009A3072"/>
    <w:rsid w:val="009A3321"/>
    <w:rsid w:val="009A4BC9"/>
    <w:rsid w:val="009A5BAD"/>
    <w:rsid w:val="009A5E8C"/>
    <w:rsid w:val="009A6B90"/>
    <w:rsid w:val="009A7DAD"/>
    <w:rsid w:val="009B0B82"/>
    <w:rsid w:val="009B22B0"/>
    <w:rsid w:val="009B2C5A"/>
    <w:rsid w:val="009B6CFB"/>
    <w:rsid w:val="009C1B21"/>
    <w:rsid w:val="009C36FF"/>
    <w:rsid w:val="009C401C"/>
    <w:rsid w:val="009C6221"/>
    <w:rsid w:val="009D0604"/>
    <w:rsid w:val="009D4784"/>
    <w:rsid w:val="009D65B6"/>
    <w:rsid w:val="009D6C98"/>
    <w:rsid w:val="009E0F23"/>
    <w:rsid w:val="009E2674"/>
    <w:rsid w:val="009E4B5E"/>
    <w:rsid w:val="009E59B0"/>
    <w:rsid w:val="009E64A8"/>
    <w:rsid w:val="009E7390"/>
    <w:rsid w:val="009F1BE1"/>
    <w:rsid w:val="009F3957"/>
    <w:rsid w:val="00A00E8C"/>
    <w:rsid w:val="00A01641"/>
    <w:rsid w:val="00A026B4"/>
    <w:rsid w:val="00A039EE"/>
    <w:rsid w:val="00A052BD"/>
    <w:rsid w:val="00A05F32"/>
    <w:rsid w:val="00A064DC"/>
    <w:rsid w:val="00A06894"/>
    <w:rsid w:val="00A06B84"/>
    <w:rsid w:val="00A14257"/>
    <w:rsid w:val="00A1503A"/>
    <w:rsid w:val="00A20F9E"/>
    <w:rsid w:val="00A214FA"/>
    <w:rsid w:val="00A2168D"/>
    <w:rsid w:val="00A22662"/>
    <w:rsid w:val="00A25435"/>
    <w:rsid w:val="00A27FB2"/>
    <w:rsid w:val="00A31B30"/>
    <w:rsid w:val="00A3236C"/>
    <w:rsid w:val="00A348BE"/>
    <w:rsid w:val="00A365B5"/>
    <w:rsid w:val="00A4174E"/>
    <w:rsid w:val="00A42256"/>
    <w:rsid w:val="00A453EB"/>
    <w:rsid w:val="00A51AF0"/>
    <w:rsid w:val="00A51D4A"/>
    <w:rsid w:val="00A52C64"/>
    <w:rsid w:val="00A55224"/>
    <w:rsid w:val="00A5543A"/>
    <w:rsid w:val="00A56942"/>
    <w:rsid w:val="00A60AE2"/>
    <w:rsid w:val="00A611F2"/>
    <w:rsid w:val="00A648B6"/>
    <w:rsid w:val="00A67754"/>
    <w:rsid w:val="00A71CBD"/>
    <w:rsid w:val="00A73E4B"/>
    <w:rsid w:val="00A75960"/>
    <w:rsid w:val="00A93529"/>
    <w:rsid w:val="00A9412D"/>
    <w:rsid w:val="00A97F4C"/>
    <w:rsid w:val="00AA4BF2"/>
    <w:rsid w:val="00AA6738"/>
    <w:rsid w:val="00AA6A4E"/>
    <w:rsid w:val="00AA7F05"/>
    <w:rsid w:val="00AB18B4"/>
    <w:rsid w:val="00AB59B8"/>
    <w:rsid w:val="00AC09BD"/>
    <w:rsid w:val="00AC153C"/>
    <w:rsid w:val="00AC1BDF"/>
    <w:rsid w:val="00AC2510"/>
    <w:rsid w:val="00AC29F9"/>
    <w:rsid w:val="00AC3C64"/>
    <w:rsid w:val="00AC782D"/>
    <w:rsid w:val="00AD3354"/>
    <w:rsid w:val="00AD3F40"/>
    <w:rsid w:val="00AD42F4"/>
    <w:rsid w:val="00AE183D"/>
    <w:rsid w:val="00AE732E"/>
    <w:rsid w:val="00AF126E"/>
    <w:rsid w:val="00AF1D45"/>
    <w:rsid w:val="00AF2067"/>
    <w:rsid w:val="00B0255F"/>
    <w:rsid w:val="00B02DC6"/>
    <w:rsid w:val="00B120B4"/>
    <w:rsid w:val="00B14574"/>
    <w:rsid w:val="00B1547F"/>
    <w:rsid w:val="00B2019B"/>
    <w:rsid w:val="00B2020A"/>
    <w:rsid w:val="00B221EF"/>
    <w:rsid w:val="00B223C7"/>
    <w:rsid w:val="00B2322E"/>
    <w:rsid w:val="00B270DE"/>
    <w:rsid w:val="00B2794E"/>
    <w:rsid w:val="00B3268C"/>
    <w:rsid w:val="00B33583"/>
    <w:rsid w:val="00B35DBD"/>
    <w:rsid w:val="00B3714C"/>
    <w:rsid w:val="00B3749D"/>
    <w:rsid w:val="00B40C30"/>
    <w:rsid w:val="00B43BEC"/>
    <w:rsid w:val="00B45B8C"/>
    <w:rsid w:val="00B5195C"/>
    <w:rsid w:val="00B52D09"/>
    <w:rsid w:val="00B57D04"/>
    <w:rsid w:val="00B6207C"/>
    <w:rsid w:val="00B6342E"/>
    <w:rsid w:val="00B66F45"/>
    <w:rsid w:val="00B7089D"/>
    <w:rsid w:val="00B72477"/>
    <w:rsid w:val="00B7324B"/>
    <w:rsid w:val="00B737B6"/>
    <w:rsid w:val="00B73FC6"/>
    <w:rsid w:val="00B75BEE"/>
    <w:rsid w:val="00B800A6"/>
    <w:rsid w:val="00B8201A"/>
    <w:rsid w:val="00B85896"/>
    <w:rsid w:val="00B87CEF"/>
    <w:rsid w:val="00B87D60"/>
    <w:rsid w:val="00B910F3"/>
    <w:rsid w:val="00B9331A"/>
    <w:rsid w:val="00B96134"/>
    <w:rsid w:val="00B96604"/>
    <w:rsid w:val="00BA70AF"/>
    <w:rsid w:val="00BB07AE"/>
    <w:rsid w:val="00BB0F82"/>
    <w:rsid w:val="00BB1244"/>
    <w:rsid w:val="00BB2738"/>
    <w:rsid w:val="00BB31F6"/>
    <w:rsid w:val="00BB4431"/>
    <w:rsid w:val="00BB4507"/>
    <w:rsid w:val="00BB7F3D"/>
    <w:rsid w:val="00BC0CBF"/>
    <w:rsid w:val="00BC304E"/>
    <w:rsid w:val="00BC388D"/>
    <w:rsid w:val="00BC4612"/>
    <w:rsid w:val="00BC7016"/>
    <w:rsid w:val="00BC730B"/>
    <w:rsid w:val="00BC78D7"/>
    <w:rsid w:val="00BC7B04"/>
    <w:rsid w:val="00BE3470"/>
    <w:rsid w:val="00BE6479"/>
    <w:rsid w:val="00BF62B9"/>
    <w:rsid w:val="00BF7F88"/>
    <w:rsid w:val="00BF7FD3"/>
    <w:rsid w:val="00C00368"/>
    <w:rsid w:val="00C100CC"/>
    <w:rsid w:val="00C10793"/>
    <w:rsid w:val="00C13C84"/>
    <w:rsid w:val="00C17E59"/>
    <w:rsid w:val="00C21939"/>
    <w:rsid w:val="00C22DB9"/>
    <w:rsid w:val="00C2387E"/>
    <w:rsid w:val="00C358D3"/>
    <w:rsid w:val="00C35BEE"/>
    <w:rsid w:val="00C44EA4"/>
    <w:rsid w:val="00C45678"/>
    <w:rsid w:val="00C463AA"/>
    <w:rsid w:val="00C4750B"/>
    <w:rsid w:val="00C52AD5"/>
    <w:rsid w:val="00C52ADD"/>
    <w:rsid w:val="00C54A02"/>
    <w:rsid w:val="00C576BE"/>
    <w:rsid w:val="00C57916"/>
    <w:rsid w:val="00C6064F"/>
    <w:rsid w:val="00C62A49"/>
    <w:rsid w:val="00C642DD"/>
    <w:rsid w:val="00C65C4C"/>
    <w:rsid w:val="00C67EAE"/>
    <w:rsid w:val="00C74B50"/>
    <w:rsid w:val="00C75E7D"/>
    <w:rsid w:val="00C807CD"/>
    <w:rsid w:val="00C8087B"/>
    <w:rsid w:val="00C84F53"/>
    <w:rsid w:val="00C90B45"/>
    <w:rsid w:val="00C94B54"/>
    <w:rsid w:val="00CA1E1B"/>
    <w:rsid w:val="00CA3024"/>
    <w:rsid w:val="00CA4DB5"/>
    <w:rsid w:val="00CA5FEB"/>
    <w:rsid w:val="00CB7E8D"/>
    <w:rsid w:val="00CC0F2E"/>
    <w:rsid w:val="00CC30F9"/>
    <w:rsid w:val="00CD24BF"/>
    <w:rsid w:val="00CD6605"/>
    <w:rsid w:val="00CD70B7"/>
    <w:rsid w:val="00CE0F34"/>
    <w:rsid w:val="00CE13B2"/>
    <w:rsid w:val="00CE2506"/>
    <w:rsid w:val="00CE46CB"/>
    <w:rsid w:val="00CE476E"/>
    <w:rsid w:val="00CE66EC"/>
    <w:rsid w:val="00CF173B"/>
    <w:rsid w:val="00CF1BAF"/>
    <w:rsid w:val="00CF1DC7"/>
    <w:rsid w:val="00CF393D"/>
    <w:rsid w:val="00CF3C7C"/>
    <w:rsid w:val="00CF629E"/>
    <w:rsid w:val="00D0115D"/>
    <w:rsid w:val="00D014DD"/>
    <w:rsid w:val="00D021EE"/>
    <w:rsid w:val="00D0330B"/>
    <w:rsid w:val="00D0622B"/>
    <w:rsid w:val="00D07555"/>
    <w:rsid w:val="00D12E37"/>
    <w:rsid w:val="00D15DE9"/>
    <w:rsid w:val="00D21D9A"/>
    <w:rsid w:val="00D237F6"/>
    <w:rsid w:val="00D255CD"/>
    <w:rsid w:val="00D27235"/>
    <w:rsid w:val="00D32452"/>
    <w:rsid w:val="00D325B9"/>
    <w:rsid w:val="00D35BF4"/>
    <w:rsid w:val="00D35DCC"/>
    <w:rsid w:val="00D40525"/>
    <w:rsid w:val="00D40CC6"/>
    <w:rsid w:val="00D4211C"/>
    <w:rsid w:val="00D42148"/>
    <w:rsid w:val="00D44E59"/>
    <w:rsid w:val="00D4746A"/>
    <w:rsid w:val="00D54B7B"/>
    <w:rsid w:val="00D54D4E"/>
    <w:rsid w:val="00D55B25"/>
    <w:rsid w:val="00D63A14"/>
    <w:rsid w:val="00D64D1A"/>
    <w:rsid w:val="00D66A08"/>
    <w:rsid w:val="00D675D2"/>
    <w:rsid w:val="00D7114B"/>
    <w:rsid w:val="00D811A1"/>
    <w:rsid w:val="00D8372D"/>
    <w:rsid w:val="00D8514D"/>
    <w:rsid w:val="00D876C8"/>
    <w:rsid w:val="00D95C25"/>
    <w:rsid w:val="00DA2BAE"/>
    <w:rsid w:val="00DA395F"/>
    <w:rsid w:val="00DA3F5C"/>
    <w:rsid w:val="00DA4454"/>
    <w:rsid w:val="00DA4DF8"/>
    <w:rsid w:val="00DA6283"/>
    <w:rsid w:val="00DA715C"/>
    <w:rsid w:val="00DB0725"/>
    <w:rsid w:val="00DB173F"/>
    <w:rsid w:val="00DB1D0D"/>
    <w:rsid w:val="00DB1F5C"/>
    <w:rsid w:val="00DB2CA8"/>
    <w:rsid w:val="00DD0EF2"/>
    <w:rsid w:val="00DD59F1"/>
    <w:rsid w:val="00DD5A7A"/>
    <w:rsid w:val="00DD67FE"/>
    <w:rsid w:val="00DD6826"/>
    <w:rsid w:val="00DD75EE"/>
    <w:rsid w:val="00DE12EA"/>
    <w:rsid w:val="00DE3BFF"/>
    <w:rsid w:val="00DF2A42"/>
    <w:rsid w:val="00DF57C7"/>
    <w:rsid w:val="00E02668"/>
    <w:rsid w:val="00E02B76"/>
    <w:rsid w:val="00E03D04"/>
    <w:rsid w:val="00E056C4"/>
    <w:rsid w:val="00E05B72"/>
    <w:rsid w:val="00E05D16"/>
    <w:rsid w:val="00E115B8"/>
    <w:rsid w:val="00E146AB"/>
    <w:rsid w:val="00E161FF"/>
    <w:rsid w:val="00E1699F"/>
    <w:rsid w:val="00E2367E"/>
    <w:rsid w:val="00E23731"/>
    <w:rsid w:val="00E337DA"/>
    <w:rsid w:val="00E40F3B"/>
    <w:rsid w:val="00E413DB"/>
    <w:rsid w:val="00E45002"/>
    <w:rsid w:val="00E45119"/>
    <w:rsid w:val="00E470BC"/>
    <w:rsid w:val="00E47B8C"/>
    <w:rsid w:val="00E52467"/>
    <w:rsid w:val="00E537B2"/>
    <w:rsid w:val="00E57658"/>
    <w:rsid w:val="00E610CE"/>
    <w:rsid w:val="00E64649"/>
    <w:rsid w:val="00E64993"/>
    <w:rsid w:val="00E672F9"/>
    <w:rsid w:val="00E717D9"/>
    <w:rsid w:val="00E72249"/>
    <w:rsid w:val="00E740AA"/>
    <w:rsid w:val="00E744B3"/>
    <w:rsid w:val="00E75622"/>
    <w:rsid w:val="00E764CD"/>
    <w:rsid w:val="00E76CE5"/>
    <w:rsid w:val="00E80B0A"/>
    <w:rsid w:val="00E84C77"/>
    <w:rsid w:val="00E850E0"/>
    <w:rsid w:val="00E858C8"/>
    <w:rsid w:val="00E87870"/>
    <w:rsid w:val="00E90429"/>
    <w:rsid w:val="00E93DA2"/>
    <w:rsid w:val="00E956EA"/>
    <w:rsid w:val="00E960CC"/>
    <w:rsid w:val="00E97078"/>
    <w:rsid w:val="00E976F3"/>
    <w:rsid w:val="00EA041E"/>
    <w:rsid w:val="00EA1C9B"/>
    <w:rsid w:val="00EA1FD8"/>
    <w:rsid w:val="00EA32C1"/>
    <w:rsid w:val="00EA43AD"/>
    <w:rsid w:val="00EA4E88"/>
    <w:rsid w:val="00EA6785"/>
    <w:rsid w:val="00EA7CBB"/>
    <w:rsid w:val="00EB143C"/>
    <w:rsid w:val="00EB26E8"/>
    <w:rsid w:val="00EB7C6E"/>
    <w:rsid w:val="00EC05AF"/>
    <w:rsid w:val="00EC1935"/>
    <w:rsid w:val="00EC1B54"/>
    <w:rsid w:val="00EC682E"/>
    <w:rsid w:val="00EC6C88"/>
    <w:rsid w:val="00EC7872"/>
    <w:rsid w:val="00ED1094"/>
    <w:rsid w:val="00ED3126"/>
    <w:rsid w:val="00ED6347"/>
    <w:rsid w:val="00EE22BD"/>
    <w:rsid w:val="00EE22D6"/>
    <w:rsid w:val="00EE638B"/>
    <w:rsid w:val="00EF36E5"/>
    <w:rsid w:val="00EF62DB"/>
    <w:rsid w:val="00EF7684"/>
    <w:rsid w:val="00F00180"/>
    <w:rsid w:val="00F07E89"/>
    <w:rsid w:val="00F07ED7"/>
    <w:rsid w:val="00F11A24"/>
    <w:rsid w:val="00F21219"/>
    <w:rsid w:val="00F21411"/>
    <w:rsid w:val="00F218CC"/>
    <w:rsid w:val="00F228E5"/>
    <w:rsid w:val="00F26B7B"/>
    <w:rsid w:val="00F274EF"/>
    <w:rsid w:val="00F34AB0"/>
    <w:rsid w:val="00F42482"/>
    <w:rsid w:val="00F42A0F"/>
    <w:rsid w:val="00F506F6"/>
    <w:rsid w:val="00F50FD6"/>
    <w:rsid w:val="00F51A5B"/>
    <w:rsid w:val="00F530F9"/>
    <w:rsid w:val="00F566D4"/>
    <w:rsid w:val="00F57EA0"/>
    <w:rsid w:val="00F62506"/>
    <w:rsid w:val="00F67E15"/>
    <w:rsid w:val="00F72E0B"/>
    <w:rsid w:val="00F760CE"/>
    <w:rsid w:val="00F77E79"/>
    <w:rsid w:val="00F806DD"/>
    <w:rsid w:val="00F837D9"/>
    <w:rsid w:val="00F9133C"/>
    <w:rsid w:val="00F94A8A"/>
    <w:rsid w:val="00F97067"/>
    <w:rsid w:val="00FA4950"/>
    <w:rsid w:val="00FB0F50"/>
    <w:rsid w:val="00FB112E"/>
    <w:rsid w:val="00FB1882"/>
    <w:rsid w:val="00FB30A5"/>
    <w:rsid w:val="00FB72B1"/>
    <w:rsid w:val="00FC49A1"/>
    <w:rsid w:val="00FD2E74"/>
    <w:rsid w:val="00FE1195"/>
    <w:rsid w:val="00FE1683"/>
    <w:rsid w:val="00FE1958"/>
    <w:rsid w:val="00FE221B"/>
    <w:rsid w:val="00FE22CF"/>
    <w:rsid w:val="00FE3658"/>
    <w:rsid w:val="00FE5E13"/>
    <w:rsid w:val="00FE5EE0"/>
    <w:rsid w:val="00FF04CD"/>
    <w:rsid w:val="00FF2883"/>
    <w:rsid w:val="00FF5F00"/>
    <w:rsid w:val="00FF6B5D"/>
    <w:rsid w:val="00FF6DDE"/>
    <w:rsid w:val="00FF73C4"/>
    <w:rsid w:val="00FF7DF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8C5"/>
    <w:pPr>
      <w:bidi/>
    </w:pPr>
    <w:rPr>
      <w:sz w:val="24"/>
      <w:szCs w:val="24"/>
      <w:lang w:eastAsia="ar-SA"/>
    </w:rPr>
  </w:style>
  <w:style w:type="paragraph" w:styleId="Heading1">
    <w:name w:val="heading 1"/>
    <w:basedOn w:val="Normal"/>
    <w:next w:val="Normal"/>
    <w:qFormat/>
    <w:rsid w:val="001228C5"/>
    <w:pPr>
      <w:keepNext/>
      <w:bidi w:val="0"/>
      <w:jc w:val="center"/>
      <w:outlineLvl w:val="0"/>
    </w:pPr>
    <w:rPr>
      <w:rFonts w:cs="Traditional Arabic"/>
      <w:b/>
      <w:bCs/>
      <w:noProof/>
      <w:sz w:val="28"/>
      <w:szCs w:val="33"/>
      <w:lang w:eastAsia="en-US"/>
    </w:rPr>
  </w:style>
  <w:style w:type="paragraph" w:styleId="Heading2">
    <w:name w:val="heading 2"/>
    <w:basedOn w:val="Normal"/>
    <w:next w:val="Normal"/>
    <w:qFormat/>
    <w:rsid w:val="001228C5"/>
    <w:pPr>
      <w:keepNext/>
      <w:bidi w:val="0"/>
      <w:jc w:val="center"/>
      <w:outlineLvl w:val="1"/>
    </w:pPr>
    <w:rPr>
      <w:b/>
      <w:bCs/>
      <w:sz w:val="28"/>
      <w:szCs w:val="28"/>
    </w:rPr>
  </w:style>
  <w:style w:type="paragraph" w:styleId="Heading3">
    <w:name w:val="heading 3"/>
    <w:basedOn w:val="Normal"/>
    <w:next w:val="Normal"/>
    <w:qFormat/>
    <w:rsid w:val="001228C5"/>
    <w:pPr>
      <w:keepNext/>
      <w:ind w:right="-426"/>
      <w:jc w:val="right"/>
      <w:outlineLvl w:val="2"/>
    </w:pPr>
    <w:rPr>
      <w:rFonts w:cs="Traditional Arabic"/>
      <w:b/>
      <w:bCs/>
      <w:noProof/>
      <w:sz w:val="20"/>
      <w:szCs w:val="20"/>
      <w:lang w:eastAsia="en-US"/>
    </w:rPr>
  </w:style>
  <w:style w:type="paragraph" w:styleId="Heading4">
    <w:name w:val="heading 4"/>
    <w:basedOn w:val="Normal"/>
    <w:next w:val="Normal"/>
    <w:qFormat/>
    <w:rsid w:val="001228C5"/>
    <w:pPr>
      <w:keepNext/>
      <w:bidi w:val="0"/>
      <w:outlineLvl w:val="3"/>
    </w:pPr>
    <w:rPr>
      <w:rFonts w:cs="Traditional Arabic"/>
      <w:b/>
      <w:bCs/>
      <w:szCs w:val="28"/>
      <w:lang w:eastAsia="en-US"/>
    </w:rPr>
  </w:style>
  <w:style w:type="paragraph" w:styleId="Heading5">
    <w:name w:val="heading 5"/>
    <w:basedOn w:val="Normal"/>
    <w:next w:val="Normal"/>
    <w:qFormat/>
    <w:rsid w:val="001228C5"/>
    <w:pPr>
      <w:keepNext/>
      <w:bidi w:val="0"/>
      <w:jc w:val="center"/>
      <w:outlineLvl w:val="4"/>
    </w:pPr>
    <w:rPr>
      <w:rFonts w:ascii="Arial" w:hAnsi="Arial" w:cs="Arial"/>
      <w:b/>
      <w:bCs/>
      <w:sz w:val="18"/>
      <w:szCs w:val="18"/>
      <w:lang w:eastAsia="en-US"/>
    </w:rPr>
  </w:style>
  <w:style w:type="paragraph" w:styleId="Heading6">
    <w:name w:val="heading 6"/>
    <w:basedOn w:val="Normal"/>
    <w:next w:val="Normal"/>
    <w:qFormat/>
    <w:rsid w:val="001228C5"/>
    <w:pPr>
      <w:keepNext/>
      <w:jc w:val="center"/>
      <w:outlineLvl w:val="5"/>
    </w:pPr>
    <w:rPr>
      <w:rFonts w:cs="Simplified Arabic"/>
      <w:b/>
      <w:bCs/>
      <w:noProof/>
      <w:sz w:val="52"/>
      <w:szCs w:val="52"/>
      <w:lang w:eastAsia="en-US"/>
    </w:rPr>
  </w:style>
  <w:style w:type="paragraph" w:styleId="Heading7">
    <w:name w:val="heading 7"/>
    <w:basedOn w:val="Normal"/>
    <w:next w:val="Normal"/>
    <w:qFormat/>
    <w:rsid w:val="001228C5"/>
    <w:pPr>
      <w:keepNext/>
      <w:bidi w:val="0"/>
      <w:jc w:val="center"/>
      <w:outlineLvl w:val="6"/>
    </w:pPr>
    <w:rPr>
      <w:rFonts w:cs="Traditional Arabic"/>
      <w:b/>
      <w:bCs/>
      <w:noProof/>
      <w:sz w:val="36"/>
      <w:szCs w:val="36"/>
      <w:lang w:eastAsia="en-US"/>
    </w:rPr>
  </w:style>
  <w:style w:type="paragraph" w:styleId="Heading8">
    <w:name w:val="heading 8"/>
    <w:basedOn w:val="Normal"/>
    <w:next w:val="Normal"/>
    <w:qFormat/>
    <w:rsid w:val="001228C5"/>
    <w:pPr>
      <w:keepNext/>
      <w:jc w:val="right"/>
      <w:outlineLvl w:val="7"/>
    </w:pPr>
    <w:rPr>
      <w:rFonts w:cs="Traditional Arabic"/>
      <w:b/>
      <w:bCs/>
      <w:noProof/>
      <w:lang w:eastAsia="en-US"/>
    </w:rPr>
  </w:style>
  <w:style w:type="paragraph" w:styleId="Heading9">
    <w:name w:val="heading 9"/>
    <w:basedOn w:val="Normal"/>
    <w:next w:val="Normal"/>
    <w:qFormat/>
    <w:rsid w:val="001228C5"/>
    <w:pPr>
      <w:keepNext/>
      <w:jc w:val="right"/>
      <w:outlineLvl w:val="8"/>
    </w:pPr>
    <w:rPr>
      <w:rFonts w:cs="Simplified Arabic"/>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1228C5"/>
    <w:rPr>
      <w:rFonts w:ascii="Cambria" w:eastAsia="SimSun" w:hAnsi="Cambria" w:cs="Times New Roman"/>
      <w:b/>
      <w:bCs/>
      <w:kern w:val="32"/>
      <w:sz w:val="32"/>
      <w:szCs w:val="32"/>
      <w:lang w:eastAsia="ar-SA" w:bidi="ar-SA"/>
    </w:rPr>
  </w:style>
  <w:style w:type="character" w:customStyle="1" w:styleId="Heading2Char">
    <w:name w:val="Heading 2 Char"/>
    <w:basedOn w:val="DefaultParagraphFont"/>
    <w:semiHidden/>
    <w:locked/>
    <w:rsid w:val="001228C5"/>
    <w:rPr>
      <w:rFonts w:ascii="Cambria" w:eastAsia="SimSun" w:hAnsi="Cambria" w:cs="Times New Roman"/>
      <w:b/>
      <w:bCs/>
      <w:i/>
      <w:iCs/>
      <w:sz w:val="28"/>
      <w:szCs w:val="28"/>
      <w:lang w:eastAsia="ar-SA" w:bidi="ar-SA"/>
    </w:rPr>
  </w:style>
  <w:style w:type="character" w:customStyle="1" w:styleId="Heading3Char">
    <w:name w:val="Heading 3 Char"/>
    <w:basedOn w:val="DefaultParagraphFont"/>
    <w:semiHidden/>
    <w:locked/>
    <w:rsid w:val="001228C5"/>
    <w:rPr>
      <w:rFonts w:ascii="Cambria" w:eastAsia="SimSun" w:hAnsi="Cambria" w:cs="Times New Roman"/>
      <w:b/>
      <w:bCs/>
      <w:sz w:val="26"/>
      <w:szCs w:val="26"/>
      <w:lang w:eastAsia="ar-SA" w:bidi="ar-SA"/>
    </w:rPr>
  </w:style>
  <w:style w:type="character" w:customStyle="1" w:styleId="Heading4Char">
    <w:name w:val="Heading 4 Char"/>
    <w:basedOn w:val="DefaultParagraphFont"/>
    <w:semiHidden/>
    <w:locked/>
    <w:rsid w:val="001228C5"/>
    <w:rPr>
      <w:rFonts w:ascii="Calibri" w:eastAsia="SimSun" w:hAnsi="Calibri" w:cs="Arial"/>
      <w:b/>
      <w:bCs/>
      <w:sz w:val="28"/>
      <w:szCs w:val="28"/>
      <w:lang w:eastAsia="ar-SA" w:bidi="ar-SA"/>
    </w:rPr>
  </w:style>
  <w:style w:type="character" w:customStyle="1" w:styleId="Heading5Char">
    <w:name w:val="Heading 5 Char"/>
    <w:basedOn w:val="DefaultParagraphFont"/>
    <w:semiHidden/>
    <w:locked/>
    <w:rsid w:val="001228C5"/>
    <w:rPr>
      <w:rFonts w:ascii="Calibri" w:eastAsia="SimSun" w:hAnsi="Calibri" w:cs="Arial"/>
      <w:b/>
      <w:bCs/>
      <w:i/>
      <w:iCs/>
      <w:sz w:val="26"/>
      <w:szCs w:val="26"/>
      <w:lang w:eastAsia="ar-SA" w:bidi="ar-SA"/>
    </w:rPr>
  </w:style>
  <w:style w:type="character" w:customStyle="1" w:styleId="Heading6Char">
    <w:name w:val="Heading 6 Char"/>
    <w:basedOn w:val="DefaultParagraphFont"/>
    <w:semiHidden/>
    <w:locked/>
    <w:rsid w:val="001228C5"/>
    <w:rPr>
      <w:rFonts w:ascii="Calibri" w:eastAsia="SimSun" w:hAnsi="Calibri" w:cs="Arial"/>
      <w:b/>
      <w:bCs/>
      <w:sz w:val="22"/>
      <w:szCs w:val="22"/>
      <w:lang w:eastAsia="ar-SA" w:bidi="ar-SA"/>
    </w:rPr>
  </w:style>
  <w:style w:type="character" w:customStyle="1" w:styleId="Heading7Char">
    <w:name w:val="Heading 7 Char"/>
    <w:basedOn w:val="DefaultParagraphFont"/>
    <w:semiHidden/>
    <w:locked/>
    <w:rsid w:val="001228C5"/>
    <w:rPr>
      <w:rFonts w:ascii="Calibri" w:eastAsia="SimSun" w:hAnsi="Calibri" w:cs="Arial"/>
      <w:sz w:val="24"/>
      <w:szCs w:val="24"/>
      <w:lang w:eastAsia="ar-SA" w:bidi="ar-SA"/>
    </w:rPr>
  </w:style>
  <w:style w:type="character" w:customStyle="1" w:styleId="Heading8Char">
    <w:name w:val="Heading 8 Char"/>
    <w:basedOn w:val="DefaultParagraphFont"/>
    <w:semiHidden/>
    <w:locked/>
    <w:rsid w:val="001228C5"/>
    <w:rPr>
      <w:rFonts w:ascii="Calibri" w:eastAsia="SimSun" w:hAnsi="Calibri" w:cs="Arial"/>
      <w:i/>
      <w:iCs/>
      <w:sz w:val="24"/>
      <w:szCs w:val="24"/>
      <w:lang w:eastAsia="ar-SA" w:bidi="ar-SA"/>
    </w:rPr>
  </w:style>
  <w:style w:type="character" w:customStyle="1" w:styleId="Heading9Char">
    <w:name w:val="Heading 9 Char"/>
    <w:basedOn w:val="DefaultParagraphFont"/>
    <w:semiHidden/>
    <w:locked/>
    <w:rsid w:val="001228C5"/>
    <w:rPr>
      <w:rFonts w:ascii="Cambria" w:eastAsia="SimSun" w:hAnsi="Cambria" w:cs="Times New Roman"/>
      <w:sz w:val="22"/>
      <w:szCs w:val="22"/>
      <w:lang w:eastAsia="ar-SA" w:bidi="ar-SA"/>
    </w:rPr>
  </w:style>
  <w:style w:type="paragraph" w:styleId="BodyText3">
    <w:name w:val="Body Text 3"/>
    <w:basedOn w:val="Normal"/>
    <w:semiHidden/>
    <w:rsid w:val="001228C5"/>
    <w:pPr>
      <w:bidi w:val="0"/>
      <w:jc w:val="lowKashida"/>
    </w:pPr>
    <w:rPr>
      <w:rFonts w:ascii="Arial" w:hAnsi="Arial" w:cs="Arial"/>
      <w:b/>
      <w:bCs/>
      <w:color w:val="000000"/>
      <w:sz w:val="22"/>
      <w:szCs w:val="22"/>
    </w:rPr>
  </w:style>
  <w:style w:type="character" w:customStyle="1" w:styleId="BodyText3Char">
    <w:name w:val="Body Text 3 Char"/>
    <w:basedOn w:val="DefaultParagraphFont"/>
    <w:semiHidden/>
    <w:locked/>
    <w:rsid w:val="001228C5"/>
    <w:rPr>
      <w:rFonts w:cs="Times New Roman"/>
      <w:sz w:val="16"/>
      <w:szCs w:val="16"/>
      <w:lang w:eastAsia="ar-SA" w:bidi="ar-SA"/>
    </w:rPr>
  </w:style>
  <w:style w:type="paragraph" w:styleId="BlockText">
    <w:name w:val="Block Text"/>
    <w:basedOn w:val="Normal"/>
    <w:semiHidden/>
    <w:rsid w:val="001228C5"/>
    <w:pPr>
      <w:tabs>
        <w:tab w:val="left" w:pos="4395"/>
      </w:tabs>
      <w:bidi w:val="0"/>
      <w:ind w:left="-90" w:right="27"/>
      <w:jc w:val="lowKashida"/>
    </w:pPr>
    <w:rPr>
      <w:b/>
      <w:bCs/>
      <w:noProof/>
      <w:lang w:eastAsia="en-US"/>
    </w:rPr>
  </w:style>
  <w:style w:type="paragraph" w:styleId="Subtitle">
    <w:name w:val="Subtitle"/>
    <w:basedOn w:val="Normal"/>
    <w:qFormat/>
    <w:rsid w:val="001228C5"/>
    <w:pPr>
      <w:bidi w:val="0"/>
      <w:jc w:val="center"/>
    </w:pPr>
    <w:rPr>
      <w:rFonts w:ascii="Bookman Old Style" w:hAnsi="Bookman Old Style" w:cs="Traditional Arabic"/>
      <w:b/>
      <w:bCs/>
      <w:noProof/>
      <w:w w:val="105"/>
      <w:sz w:val="28"/>
      <w:szCs w:val="33"/>
      <w:lang w:eastAsia="en-US"/>
    </w:rPr>
  </w:style>
  <w:style w:type="character" w:customStyle="1" w:styleId="SubtitleChar">
    <w:name w:val="Subtitle Char"/>
    <w:basedOn w:val="DefaultParagraphFont"/>
    <w:locked/>
    <w:rsid w:val="001228C5"/>
    <w:rPr>
      <w:rFonts w:ascii="Cambria" w:eastAsia="SimSun" w:hAnsi="Cambria" w:cs="Times New Roman"/>
      <w:sz w:val="24"/>
      <w:szCs w:val="24"/>
      <w:lang w:eastAsia="ar-SA" w:bidi="ar-SA"/>
    </w:rPr>
  </w:style>
  <w:style w:type="paragraph" w:styleId="BodyText">
    <w:name w:val="Body Text"/>
    <w:basedOn w:val="Normal"/>
    <w:semiHidden/>
    <w:rsid w:val="001228C5"/>
    <w:pPr>
      <w:bidi w:val="0"/>
      <w:jc w:val="lowKashida"/>
    </w:pPr>
    <w:rPr>
      <w:rFonts w:ascii="Bookman Old Style" w:hAnsi="Bookman Old Style" w:cs="Traditional Arabic"/>
      <w:noProof/>
      <w:w w:val="115"/>
      <w:sz w:val="26"/>
      <w:szCs w:val="31"/>
      <w:lang w:eastAsia="en-US"/>
    </w:rPr>
  </w:style>
  <w:style w:type="character" w:customStyle="1" w:styleId="BodyTextChar">
    <w:name w:val="Body Text Char"/>
    <w:basedOn w:val="DefaultParagraphFont"/>
    <w:semiHidden/>
    <w:locked/>
    <w:rsid w:val="001228C5"/>
    <w:rPr>
      <w:rFonts w:cs="Times New Roman"/>
      <w:sz w:val="24"/>
      <w:szCs w:val="24"/>
      <w:lang w:eastAsia="ar-SA" w:bidi="ar-SA"/>
    </w:rPr>
  </w:style>
  <w:style w:type="paragraph" w:styleId="BodyText2">
    <w:name w:val="Body Text 2"/>
    <w:basedOn w:val="Normal"/>
    <w:semiHidden/>
    <w:rsid w:val="001228C5"/>
    <w:pPr>
      <w:bidi w:val="0"/>
      <w:jc w:val="lowKashida"/>
    </w:pPr>
    <w:rPr>
      <w:rFonts w:cs="Traditional Arabic"/>
      <w:noProof/>
      <w:szCs w:val="28"/>
      <w:lang w:eastAsia="en-US"/>
    </w:rPr>
  </w:style>
  <w:style w:type="character" w:customStyle="1" w:styleId="BodyText2Char">
    <w:name w:val="Body Text 2 Char"/>
    <w:basedOn w:val="DefaultParagraphFont"/>
    <w:semiHidden/>
    <w:locked/>
    <w:rsid w:val="001228C5"/>
    <w:rPr>
      <w:rFonts w:cs="Times New Roman"/>
      <w:sz w:val="24"/>
      <w:szCs w:val="24"/>
      <w:lang w:eastAsia="ar-SA" w:bidi="ar-SA"/>
    </w:rPr>
  </w:style>
  <w:style w:type="paragraph" w:styleId="Header">
    <w:name w:val="header"/>
    <w:basedOn w:val="Normal"/>
    <w:semiHidden/>
    <w:rsid w:val="001228C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semiHidden/>
    <w:locked/>
    <w:rsid w:val="001228C5"/>
    <w:rPr>
      <w:rFonts w:cs="Times New Roman"/>
      <w:sz w:val="24"/>
      <w:szCs w:val="24"/>
      <w:lang w:eastAsia="ar-SA" w:bidi="ar-SA"/>
    </w:rPr>
  </w:style>
  <w:style w:type="paragraph" w:styleId="Footer">
    <w:name w:val="footer"/>
    <w:basedOn w:val="Normal"/>
    <w:uiPriority w:val="99"/>
    <w:rsid w:val="001228C5"/>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uiPriority w:val="99"/>
    <w:locked/>
    <w:rsid w:val="001228C5"/>
    <w:rPr>
      <w:rFonts w:cs="Times New Roman"/>
      <w:sz w:val="24"/>
      <w:szCs w:val="24"/>
      <w:lang w:eastAsia="ar-SA" w:bidi="ar-SA"/>
    </w:rPr>
  </w:style>
  <w:style w:type="character" w:styleId="PageNumber">
    <w:name w:val="page number"/>
    <w:basedOn w:val="DefaultParagraphFont"/>
    <w:semiHidden/>
    <w:rsid w:val="001228C5"/>
    <w:rPr>
      <w:rFonts w:cs="Times New Roman"/>
    </w:rPr>
  </w:style>
  <w:style w:type="paragraph" w:styleId="FootnoteText">
    <w:name w:val="footnote text"/>
    <w:basedOn w:val="Normal"/>
    <w:semiHidden/>
    <w:rsid w:val="001228C5"/>
    <w:pPr>
      <w:bidi w:val="0"/>
    </w:pPr>
    <w:rPr>
      <w:rFonts w:cs="Traditional Arabic"/>
      <w:noProof/>
      <w:sz w:val="20"/>
    </w:rPr>
  </w:style>
  <w:style w:type="character" w:customStyle="1" w:styleId="FootnoteTextChar">
    <w:name w:val="Footnote Text Char"/>
    <w:basedOn w:val="DefaultParagraphFont"/>
    <w:semiHidden/>
    <w:locked/>
    <w:rsid w:val="001228C5"/>
    <w:rPr>
      <w:rFonts w:cs="Times New Roman"/>
      <w:lang w:eastAsia="ar-SA" w:bidi="ar-SA"/>
    </w:rPr>
  </w:style>
  <w:style w:type="character" w:styleId="FootnoteReference">
    <w:name w:val="footnote reference"/>
    <w:basedOn w:val="DefaultParagraphFont"/>
    <w:semiHidden/>
    <w:rsid w:val="001228C5"/>
    <w:rPr>
      <w:rFonts w:cs="Times New Roman"/>
      <w:vertAlign w:val="superscript"/>
    </w:rPr>
  </w:style>
  <w:style w:type="paragraph" w:styleId="BodyTextIndent">
    <w:name w:val="Body Text Indent"/>
    <w:basedOn w:val="Normal"/>
    <w:semiHidden/>
    <w:rsid w:val="001228C5"/>
    <w:pPr>
      <w:bidi w:val="0"/>
      <w:ind w:left="-360"/>
      <w:jc w:val="lowKashida"/>
    </w:pPr>
    <w:rPr>
      <w:noProof/>
      <w:lang w:eastAsia="en-US"/>
    </w:rPr>
  </w:style>
  <w:style w:type="character" w:customStyle="1" w:styleId="BodyTextIndentChar">
    <w:name w:val="Body Text Indent Char"/>
    <w:basedOn w:val="DefaultParagraphFont"/>
    <w:semiHidden/>
    <w:locked/>
    <w:rsid w:val="001228C5"/>
    <w:rPr>
      <w:rFonts w:cs="Times New Roman"/>
      <w:sz w:val="24"/>
      <w:szCs w:val="24"/>
      <w:lang w:eastAsia="ar-SA" w:bidi="ar-SA"/>
    </w:rPr>
  </w:style>
  <w:style w:type="paragraph" w:styleId="Title">
    <w:name w:val="Title"/>
    <w:basedOn w:val="Normal"/>
    <w:next w:val="Normal"/>
    <w:qFormat/>
    <w:rsid w:val="001228C5"/>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ocked/>
    <w:rsid w:val="001228C5"/>
    <w:rPr>
      <w:rFonts w:ascii="Cambria" w:eastAsia="SimSun" w:hAnsi="Cambria" w:cs="Times New Roman"/>
      <w:b/>
      <w:bCs/>
      <w:kern w:val="28"/>
      <w:sz w:val="32"/>
      <w:szCs w:val="32"/>
      <w:lang w:eastAsia="ar-SA" w:bidi="ar-SA"/>
    </w:rPr>
  </w:style>
  <w:style w:type="paragraph" w:customStyle="1" w:styleId="xl34">
    <w:name w:val="xl34"/>
    <w:basedOn w:val="Normal"/>
    <w:rsid w:val="001228C5"/>
    <w:pPr>
      <w:bidi w:val="0"/>
      <w:spacing w:before="100" w:after="100"/>
    </w:pPr>
    <w:rPr>
      <w:rFonts w:cs="Traditional Arabic"/>
      <w:szCs w:val="28"/>
      <w:lang w:val="en-GB" w:eastAsia="en-US" w:bidi="ar-JO"/>
    </w:rPr>
  </w:style>
  <w:style w:type="paragraph" w:styleId="BodyTextIndent2">
    <w:name w:val="Body Text Indent 2"/>
    <w:basedOn w:val="Normal"/>
    <w:semiHidden/>
    <w:rsid w:val="001228C5"/>
    <w:pPr>
      <w:bidi w:val="0"/>
      <w:ind w:left="-2"/>
      <w:jc w:val="both"/>
    </w:pPr>
  </w:style>
  <w:style w:type="character" w:customStyle="1" w:styleId="BodyTextIndent2Char">
    <w:name w:val="Body Text Indent 2 Char"/>
    <w:basedOn w:val="DefaultParagraphFont"/>
    <w:semiHidden/>
    <w:locked/>
    <w:rsid w:val="001228C5"/>
    <w:rPr>
      <w:rFonts w:cs="Times New Roman"/>
      <w:sz w:val="24"/>
      <w:szCs w:val="24"/>
      <w:lang w:eastAsia="ar-SA" w:bidi="ar-SA"/>
    </w:rPr>
  </w:style>
  <w:style w:type="character" w:styleId="Hyperlink">
    <w:name w:val="Hyperlink"/>
    <w:basedOn w:val="DefaultParagraphFont"/>
    <w:semiHidden/>
    <w:rsid w:val="001228C5"/>
    <w:rPr>
      <w:rFonts w:cs="Times New Roman"/>
      <w:color w:val="0000FF"/>
      <w:u w:val="single"/>
    </w:rPr>
  </w:style>
  <w:style w:type="paragraph" w:styleId="Caption">
    <w:name w:val="caption"/>
    <w:basedOn w:val="Normal"/>
    <w:next w:val="Normal"/>
    <w:qFormat/>
    <w:rsid w:val="001228C5"/>
    <w:pPr>
      <w:tabs>
        <w:tab w:val="right" w:pos="6377"/>
      </w:tabs>
      <w:snapToGrid w:val="0"/>
      <w:jc w:val="center"/>
    </w:pPr>
    <w:rPr>
      <w:rFonts w:cs="Traditional Arabic"/>
      <w:b/>
      <w:bCs/>
      <w:szCs w:val="28"/>
      <w:lang w:eastAsia="en-US"/>
    </w:rPr>
  </w:style>
  <w:style w:type="paragraph" w:styleId="BodyTextIndent3">
    <w:name w:val="Body Text Indent 3"/>
    <w:basedOn w:val="Normal"/>
    <w:semiHidden/>
    <w:rsid w:val="001228C5"/>
    <w:pPr>
      <w:bidi w:val="0"/>
      <w:ind w:left="720"/>
      <w:jc w:val="lowKashida"/>
    </w:pPr>
    <w:rPr>
      <w:lang w:eastAsia="en-US"/>
    </w:rPr>
  </w:style>
  <w:style w:type="character" w:styleId="FollowedHyperlink">
    <w:name w:val="FollowedHyperlink"/>
    <w:basedOn w:val="DefaultParagraphFont"/>
    <w:semiHidden/>
    <w:rsid w:val="001228C5"/>
    <w:rPr>
      <w:color w:val="800080"/>
      <w:u w:val="single"/>
    </w:rPr>
  </w:style>
  <w:style w:type="character" w:customStyle="1" w:styleId="longtext1">
    <w:name w:val="long_text1"/>
    <w:basedOn w:val="DefaultParagraphFont"/>
    <w:rsid w:val="001228C5"/>
    <w:rPr>
      <w:spacing w:val="408"/>
      <w:sz w:val="20"/>
      <w:szCs w:val="20"/>
    </w:rPr>
  </w:style>
  <w:style w:type="character" w:customStyle="1" w:styleId="longtext">
    <w:name w:val="long_text"/>
    <w:basedOn w:val="DefaultParagraphFont"/>
    <w:rsid w:val="001228C5"/>
  </w:style>
  <w:style w:type="paragraph" w:styleId="BalloonText">
    <w:name w:val="Balloon Text"/>
    <w:basedOn w:val="Normal"/>
    <w:link w:val="BalloonTextChar"/>
    <w:uiPriority w:val="99"/>
    <w:semiHidden/>
    <w:unhideWhenUsed/>
    <w:rsid w:val="00461B79"/>
    <w:rPr>
      <w:rFonts w:ascii="Tahoma" w:hAnsi="Tahoma" w:cs="Tahoma"/>
      <w:sz w:val="16"/>
      <w:szCs w:val="16"/>
    </w:rPr>
  </w:style>
  <w:style w:type="character" w:customStyle="1" w:styleId="BalloonTextChar">
    <w:name w:val="Balloon Text Char"/>
    <w:basedOn w:val="DefaultParagraphFont"/>
    <w:link w:val="BalloonText"/>
    <w:uiPriority w:val="99"/>
    <w:semiHidden/>
    <w:rsid w:val="00461B79"/>
    <w:rPr>
      <w:rFonts w:ascii="Tahoma" w:hAnsi="Tahoma" w:cs="Tahoma"/>
      <w:sz w:val="16"/>
      <w:szCs w:val="16"/>
      <w:lang w:eastAsia="ar-SA"/>
    </w:rPr>
  </w:style>
  <w:style w:type="table" w:styleId="TableGrid">
    <w:name w:val="Table Grid"/>
    <w:basedOn w:val="TableNormal"/>
    <w:uiPriority w:val="59"/>
    <w:rsid w:val="00000F3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F124C"/>
    <w:rPr>
      <w:sz w:val="16"/>
      <w:szCs w:val="16"/>
    </w:rPr>
  </w:style>
  <w:style w:type="paragraph" w:styleId="CommentText">
    <w:name w:val="annotation text"/>
    <w:basedOn w:val="Normal"/>
    <w:link w:val="CommentTextChar"/>
    <w:uiPriority w:val="99"/>
    <w:semiHidden/>
    <w:unhideWhenUsed/>
    <w:rsid w:val="005F124C"/>
    <w:rPr>
      <w:sz w:val="20"/>
      <w:szCs w:val="20"/>
    </w:rPr>
  </w:style>
  <w:style w:type="character" w:customStyle="1" w:styleId="CommentTextChar">
    <w:name w:val="Comment Text Char"/>
    <w:basedOn w:val="DefaultParagraphFont"/>
    <w:link w:val="CommentText"/>
    <w:uiPriority w:val="99"/>
    <w:semiHidden/>
    <w:rsid w:val="005F124C"/>
    <w:rPr>
      <w:lang w:eastAsia="ar-SA"/>
    </w:rPr>
  </w:style>
  <w:style w:type="paragraph" w:styleId="CommentSubject">
    <w:name w:val="annotation subject"/>
    <w:basedOn w:val="CommentText"/>
    <w:next w:val="CommentText"/>
    <w:link w:val="CommentSubjectChar"/>
    <w:uiPriority w:val="99"/>
    <w:semiHidden/>
    <w:unhideWhenUsed/>
    <w:rsid w:val="005F124C"/>
    <w:rPr>
      <w:b/>
      <w:bCs/>
    </w:rPr>
  </w:style>
  <w:style w:type="character" w:customStyle="1" w:styleId="CommentSubjectChar">
    <w:name w:val="Comment Subject Char"/>
    <w:basedOn w:val="CommentTextChar"/>
    <w:link w:val="CommentSubject"/>
    <w:uiPriority w:val="99"/>
    <w:semiHidden/>
    <w:rsid w:val="005F124C"/>
    <w:rPr>
      <w:b/>
      <w:bCs/>
      <w:lang w:eastAsia="ar-SA"/>
    </w:rPr>
  </w:style>
  <w:style w:type="paragraph" w:styleId="Revision">
    <w:name w:val="Revision"/>
    <w:hidden/>
    <w:uiPriority w:val="99"/>
    <w:semiHidden/>
    <w:rsid w:val="005817DD"/>
    <w:rPr>
      <w:sz w:val="24"/>
      <w:szCs w:val="24"/>
      <w:lang w:eastAsia="ar-SA"/>
    </w:rPr>
  </w:style>
  <w:style w:type="paragraph" w:styleId="ListParagraph">
    <w:name w:val="List Paragraph"/>
    <w:basedOn w:val="Normal"/>
    <w:uiPriority w:val="34"/>
    <w:qFormat/>
    <w:rsid w:val="007D3B80"/>
    <w:pPr>
      <w:ind w:left="720"/>
      <w:contextualSpacing/>
    </w:pPr>
  </w:style>
  <w:style w:type="character" w:customStyle="1" w:styleId="hps">
    <w:name w:val="hps"/>
    <w:basedOn w:val="DefaultParagraphFont"/>
    <w:rsid w:val="006F50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oleObject" Target="file:///C:\Na\Doc\Report%202013\Book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21"/>
  <c:chart>
    <c:autoTitleDeleted val="1"/>
    <c:plotArea>
      <c:layout>
        <c:manualLayout>
          <c:layoutTarget val="inner"/>
          <c:xMode val="edge"/>
          <c:yMode val="edge"/>
          <c:x val="0.38339679621265943"/>
          <c:y val="7.7635073393603593E-2"/>
          <c:w val="0.5673084011706655"/>
          <c:h val="0.85236392896143209"/>
        </c:manualLayout>
      </c:layout>
      <c:barChart>
        <c:barDir val="bar"/>
        <c:grouping val="clustered"/>
        <c:ser>
          <c:idx val="0"/>
          <c:order val="0"/>
          <c:tx>
            <c:strRef>
              <c:f>Sheet1!#REF!</c:f>
              <c:strCache>
                <c:ptCount val="1"/>
                <c:pt idx="0">
                  <c:v>#REF!</c:v>
                </c:pt>
              </c:strCache>
            </c:strRef>
          </c:tx>
          <c:cat>
            <c:strRef>
              <c:f>Sheet1!$A$1:$A$10</c:f>
              <c:strCache>
                <c:ptCount val="10"/>
                <c:pt idx="0">
                  <c:v>Services</c:v>
                </c:pt>
                <c:pt idx="1">
                  <c:v>Wholesale and retail trade</c:v>
                </c:pt>
                <c:pt idx="2">
                  <c:v>Mining, manufacturing, electricity and water</c:v>
                </c:pt>
                <c:pt idx="3">
                  <c:v>Public administration and defense</c:v>
                </c:pt>
                <c:pt idx="4">
                  <c:v>Other**</c:v>
                </c:pt>
                <c:pt idx="5">
                  <c:v>Information and communication</c:v>
                </c:pt>
                <c:pt idx="6">
                  <c:v>Construction</c:v>
                </c:pt>
                <c:pt idx="7">
                  <c:v>Agriculture, forestry and fishing</c:v>
                </c:pt>
                <c:pt idx="8">
                  <c:v>Financial and insurance activities</c:v>
                </c:pt>
                <c:pt idx="9">
                  <c:v>Transportation and storage</c:v>
                </c:pt>
              </c:strCache>
            </c:strRef>
          </c:cat>
          <c:val>
            <c:numRef>
              <c:f>Sheet1!$B$1:$B$10</c:f>
              <c:numCache>
                <c:formatCode>0%</c:formatCode>
                <c:ptCount val="10"/>
                <c:pt idx="0">
                  <c:v>0.21000000000000021</c:v>
                </c:pt>
                <c:pt idx="1">
                  <c:v>0.17</c:v>
                </c:pt>
                <c:pt idx="2">
                  <c:v>0.16000000000000028</c:v>
                </c:pt>
                <c:pt idx="3">
                  <c:v>0.15000000000000024</c:v>
                </c:pt>
                <c:pt idx="4">
                  <c:v>0.11000000000000013</c:v>
                </c:pt>
                <c:pt idx="5">
                  <c:v>6.0000000000000171E-2</c:v>
                </c:pt>
                <c:pt idx="6">
                  <c:v>5.0000000000000114E-2</c:v>
                </c:pt>
                <c:pt idx="7">
                  <c:v>4.0000000000000112E-2</c:v>
                </c:pt>
                <c:pt idx="8">
                  <c:v>3.0000000000000086E-2</c:v>
                </c:pt>
                <c:pt idx="9">
                  <c:v>2.0000000000000052E-2</c:v>
                </c:pt>
              </c:numCache>
            </c:numRef>
          </c:val>
        </c:ser>
        <c:dLbls>
          <c:showVal val="1"/>
        </c:dLbls>
        <c:axId val="78886016"/>
        <c:axId val="83204736"/>
      </c:barChart>
      <c:catAx>
        <c:axId val="78886016"/>
        <c:scaling>
          <c:orientation val="minMax"/>
        </c:scaling>
        <c:axPos val="l"/>
        <c:majorTickMark val="none"/>
        <c:tickLblPos val="nextTo"/>
        <c:txPr>
          <a:bodyPr rot="0" vert="horz" anchor="ctr" anchorCtr="0"/>
          <a:lstStyle/>
          <a:p>
            <a:pPr>
              <a:defRPr sz="800"/>
            </a:pPr>
            <a:endParaRPr lang="ar-SA"/>
          </a:p>
        </c:txPr>
        <c:crossAx val="83204736"/>
        <c:crosses val="autoZero"/>
        <c:auto val="1"/>
        <c:lblAlgn val="l"/>
        <c:lblOffset val="100"/>
      </c:catAx>
      <c:valAx>
        <c:axId val="83204736"/>
        <c:scaling>
          <c:orientation val="minMax"/>
        </c:scaling>
        <c:delete val="1"/>
        <c:axPos val="b"/>
        <c:numFmt formatCode="0%" sourceLinked="1"/>
        <c:majorTickMark val="none"/>
        <c:tickLblPos val="none"/>
        <c:crossAx val="78886016"/>
        <c:crosses val="autoZero"/>
        <c:crossBetween val="between"/>
      </c:valAx>
    </c:plotArea>
    <c:plotVisOnly val="1"/>
    <c:dispBlanksAs val="zero"/>
  </c:chart>
  <c:spPr>
    <a:noFill/>
    <a:ln>
      <a:noFill/>
    </a:ln>
  </c:spPr>
  <c:txPr>
    <a:bodyPr/>
    <a:lstStyle/>
    <a:p>
      <a:pPr>
        <a:defRPr sz="900" baseline="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3.5488365189056473E-2"/>
          <c:y val="0.14697575116543357"/>
          <c:w val="0.89662965043053655"/>
          <c:h val="0.64230109296039806"/>
        </c:manualLayout>
      </c:layout>
      <c:lineChart>
        <c:grouping val="standard"/>
        <c:ser>
          <c:idx val="0"/>
          <c:order val="0"/>
          <c:tx>
            <c:strRef>
              <c:f>Sheet1!$A$2</c:f>
              <c:strCache>
                <c:ptCount val="1"/>
                <c:pt idx="0">
                  <c:v>Gross Domestic Product at Current Prices</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Sheet1!$B$2:$K$2</c:f>
              <c:numCache>
                <c:formatCode>#,##0.00</c:formatCode>
                <c:ptCount val="10"/>
                <c:pt idx="0">
                  <c:v>4329.2</c:v>
                </c:pt>
                <c:pt idx="1">
                  <c:v>4831.8</c:v>
                </c:pt>
                <c:pt idx="2">
                  <c:v>4910.1000000000004</c:v>
                </c:pt>
                <c:pt idx="3">
                  <c:v>5505.8</c:v>
                </c:pt>
                <c:pt idx="4">
                  <c:v>6673.5</c:v>
                </c:pt>
                <c:pt idx="5">
                  <c:v>7268.2</c:v>
                </c:pt>
                <c:pt idx="6">
                  <c:v>8913.1</c:v>
                </c:pt>
                <c:pt idx="7">
                  <c:v>10465.4</c:v>
                </c:pt>
                <c:pt idx="8">
                  <c:v>11279.4</c:v>
                </c:pt>
                <c:pt idx="9">
                  <c:v>12476</c:v>
                </c:pt>
              </c:numCache>
            </c:numRef>
          </c:val>
        </c:ser>
        <c:ser>
          <c:idx val="1"/>
          <c:order val="1"/>
          <c:tx>
            <c:strRef>
              <c:f>Sheet1!$A$3</c:f>
              <c:strCache>
                <c:ptCount val="1"/>
                <c:pt idx="0">
                  <c:v>Gross Domestic Product at Constant Prices</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Sheet1!$B$3:$K$3</c:f>
              <c:numCache>
                <c:formatCode>#,##0.00</c:formatCode>
                <c:ptCount val="10"/>
                <c:pt idx="0">
                  <c:v>4329.22</c:v>
                </c:pt>
                <c:pt idx="1">
                  <c:v>4796.6900000000014</c:v>
                </c:pt>
                <c:pt idx="2">
                  <c:v>4609.53</c:v>
                </c:pt>
                <c:pt idx="3">
                  <c:v>4913.43</c:v>
                </c:pt>
                <c:pt idx="4">
                  <c:v>5212.1000000000004</c:v>
                </c:pt>
                <c:pt idx="5">
                  <c:v>5663.6900000000014</c:v>
                </c:pt>
                <c:pt idx="6">
                  <c:v>6122.26</c:v>
                </c:pt>
                <c:pt idx="7">
                  <c:v>6882.34</c:v>
                </c:pt>
                <c:pt idx="8">
                  <c:v>7314.8</c:v>
                </c:pt>
                <c:pt idx="9">
                  <c:v>7477</c:v>
                </c:pt>
              </c:numCache>
            </c:numRef>
          </c:val>
        </c:ser>
        <c:marker val="1"/>
        <c:axId val="102870400"/>
        <c:axId val="103020032"/>
      </c:lineChart>
      <c:catAx>
        <c:axId val="102870400"/>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103020032"/>
        <c:crosses val="autoZero"/>
        <c:auto val="1"/>
        <c:lblAlgn val="ctr"/>
        <c:lblOffset val="50"/>
        <c:tickLblSkip val="1"/>
        <c:tickMarkSkip val="1"/>
      </c:catAx>
      <c:valAx>
        <c:axId val="103020032"/>
        <c:scaling>
          <c:orientation val="minMax"/>
          <c:min val="0"/>
        </c:scaling>
        <c:axPos val="l"/>
        <c:majorGridlines>
          <c:spPr>
            <a:ln w="3175">
              <a:solidFill>
                <a:schemeClr val="bg1">
                  <a:lumMod val="85000"/>
                </a:schemeClr>
              </a:solidFill>
              <a:prstDash val="solid"/>
            </a:ln>
          </c:spPr>
        </c:majorGridlines>
        <c:numFmt formatCode="#,##0" sourceLinked="0"/>
        <c:tickLblPos val="nextTo"/>
        <c:spPr>
          <a:ln w="3175">
            <a:solidFill>
              <a:srgbClr val="000000"/>
            </a:solidFill>
            <a:prstDash val="solid"/>
          </a:ln>
        </c:spPr>
        <c:txPr>
          <a:bodyPr rot="-60000" vert="horz"/>
          <a:lstStyle/>
          <a:p>
            <a:pPr>
              <a:defRPr/>
            </a:pPr>
            <a:endParaRPr lang="ar-SA"/>
          </a:p>
        </c:txPr>
        <c:crossAx val="102870400"/>
        <c:crosses val="autoZero"/>
        <c:crossBetween val="between"/>
        <c:majorUnit val="3000"/>
      </c:valAx>
      <c:spPr>
        <a:ln w="3175" cap="rnd">
          <a:prstDash val="solid"/>
          <a:round/>
        </a:ln>
        <a:effectLst/>
      </c:spPr>
    </c:plotArea>
    <c:legend>
      <c:legendPos val="r"/>
      <c:layout>
        <c:manualLayout>
          <c:xMode val="edge"/>
          <c:yMode val="edge"/>
          <c:x val="8.6577554094398004E-2"/>
          <c:y val="2.6411250832451941E-2"/>
          <c:w val="0.8810318297841635"/>
          <c:h val="9.9687389822540856E-2"/>
        </c:manualLayout>
      </c:layout>
      <c:spPr>
        <a:noFill/>
        <a:ln w="3175">
          <a:solidFill>
            <a:srgbClr val="000000"/>
          </a:solidFill>
          <a:prstDash val="solid"/>
        </a:ln>
      </c:spPr>
      <c:txPr>
        <a:bodyPr/>
        <a:lstStyle/>
        <a:p>
          <a:pPr>
            <a:defRPr sz="800"/>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883929664232385"/>
          <c:y val="0.14677667283621421"/>
          <c:w val="0.89116061944162606"/>
          <c:h val="0.67126351706036769"/>
        </c:manualLayout>
      </c:layout>
      <c:lineChart>
        <c:grouping val="standard"/>
        <c:ser>
          <c:idx val="0"/>
          <c:order val="0"/>
          <c:tx>
            <c:strRef>
              <c:f>Sheet1!$A$2</c:f>
              <c:strCache>
                <c:ptCount val="1"/>
                <c:pt idx="0">
                  <c:v>GNI at current prices</c:v>
                </c:pt>
              </c:strCache>
            </c:strRef>
          </c:tx>
          <c:spPr>
            <a:ln w="12700">
              <a:solidFill>
                <a:srgbClr val="C00000"/>
              </a:solidFill>
              <a:prstDash val="solid"/>
            </a:ln>
          </c:spPr>
          <c:marker>
            <c:symbol val="diamond"/>
            <c:size val="4"/>
            <c:spPr>
              <a:solidFill>
                <a:srgbClr val="000080"/>
              </a:solidFill>
              <a:ln>
                <a:solidFill>
                  <a:srgbClr val="000080"/>
                </a:solidFill>
                <a:prstDash val="solid"/>
              </a:ln>
            </c:spPr>
          </c:marker>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Sheet1!$B$2:$K$2</c:f>
              <c:numCache>
                <c:formatCode>#,##0.00</c:formatCode>
                <c:ptCount val="10"/>
                <c:pt idx="0">
                  <c:v>4557.4000000000005</c:v>
                </c:pt>
                <c:pt idx="1">
                  <c:v>5180.7999999999993</c:v>
                </c:pt>
                <c:pt idx="2">
                  <c:v>5332.7</c:v>
                </c:pt>
                <c:pt idx="3">
                  <c:v>6058.4000000000005</c:v>
                </c:pt>
                <c:pt idx="4">
                  <c:v>7344.7999999999993</c:v>
                </c:pt>
                <c:pt idx="5">
                  <c:v>7800.2999999999993</c:v>
                </c:pt>
                <c:pt idx="6">
                  <c:v>9512.2000000000007</c:v>
                </c:pt>
                <c:pt idx="7">
                  <c:v>11214.9</c:v>
                </c:pt>
                <c:pt idx="8">
                  <c:v>12136.9</c:v>
                </c:pt>
                <c:pt idx="9">
                  <c:v>13636.4</c:v>
                </c:pt>
              </c:numCache>
            </c:numRef>
          </c:val>
        </c:ser>
        <c:ser>
          <c:idx val="1"/>
          <c:order val="1"/>
          <c:tx>
            <c:strRef>
              <c:f>Sheet1!$A$3</c:f>
              <c:strCache>
                <c:ptCount val="1"/>
                <c:pt idx="0">
                  <c:v>GNI at constant prices</c:v>
                </c:pt>
              </c:strCache>
            </c:strRef>
          </c:tx>
          <c:spPr>
            <a:ln w="12700">
              <a:solidFill>
                <a:schemeClr val="tx2">
                  <a:lumMod val="75000"/>
                  <a:alpha val="68000"/>
                </a:schemeClr>
              </a:solidFill>
              <a:prstDash val="solid"/>
            </a:ln>
          </c:spPr>
          <c:marker>
            <c:symbol val="square"/>
            <c:size val="4"/>
            <c:spPr>
              <a:solidFill>
                <a:srgbClr val="FF00FF"/>
              </a:solidFill>
              <a:ln>
                <a:solidFill>
                  <a:srgbClr val="FF00FF"/>
                </a:solidFill>
                <a:prstDash val="solid"/>
              </a:ln>
            </c:spPr>
          </c:marker>
          <c:dPt>
            <c:idx val="10"/>
            <c:spPr>
              <a:ln w="19050">
                <a:solidFill>
                  <a:schemeClr val="tx2">
                    <a:lumMod val="75000"/>
                    <a:alpha val="68000"/>
                  </a:schemeClr>
                </a:solidFill>
                <a:prstDash val="solid"/>
              </a:ln>
            </c:spPr>
          </c:dPt>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Sheet1!$B$3:$K$3</c:f>
              <c:numCache>
                <c:formatCode>#,##0.00</c:formatCode>
                <c:ptCount val="10"/>
                <c:pt idx="0">
                  <c:v>4557.2990840011698</c:v>
                </c:pt>
                <c:pt idx="1">
                  <c:v>5125.6394772110298</c:v>
                </c:pt>
                <c:pt idx="2">
                  <c:v>5002.2731023846218</c:v>
                </c:pt>
                <c:pt idx="3">
                  <c:v>5375.0134521783311</c:v>
                </c:pt>
                <c:pt idx="4">
                  <c:v>5772.6087689494934</c:v>
                </c:pt>
                <c:pt idx="5">
                  <c:v>6133.4271346631949</c:v>
                </c:pt>
                <c:pt idx="6">
                  <c:v>6486.9653058381218</c:v>
                </c:pt>
                <c:pt idx="7">
                  <c:v>7299.1</c:v>
                </c:pt>
                <c:pt idx="8">
                  <c:v>7791.4</c:v>
                </c:pt>
                <c:pt idx="9">
                  <c:v>8068.2</c:v>
                </c:pt>
              </c:numCache>
            </c:numRef>
          </c:val>
        </c:ser>
        <c:marker val="1"/>
        <c:axId val="141347456"/>
        <c:axId val="155472256"/>
      </c:lineChart>
      <c:catAx>
        <c:axId val="141347456"/>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155472256"/>
        <c:crosses val="autoZero"/>
        <c:auto val="1"/>
        <c:lblAlgn val="ctr"/>
        <c:lblOffset val="50"/>
        <c:tickLblSkip val="1"/>
        <c:tickMarkSkip val="1"/>
      </c:catAx>
      <c:valAx>
        <c:axId val="155472256"/>
        <c:scaling>
          <c:orientation val="minMax"/>
          <c:max val="15000"/>
          <c:min val="0"/>
        </c:scaling>
        <c:axPos val="l"/>
        <c:majorGridlines>
          <c:spPr>
            <a:ln w="3175">
              <a:solidFill>
                <a:schemeClr val="bg1">
                  <a:lumMod val="85000"/>
                </a:schemeClr>
              </a:solidFill>
              <a:prstDash val="solid"/>
            </a:ln>
          </c:spPr>
        </c:majorGridlines>
        <c:numFmt formatCode="#,##0" sourceLinked="0"/>
        <c:tickLblPos val="nextTo"/>
        <c:spPr>
          <a:ln w="3175">
            <a:solidFill>
              <a:srgbClr val="000000"/>
            </a:solidFill>
            <a:prstDash val="solid"/>
          </a:ln>
        </c:spPr>
        <c:txPr>
          <a:bodyPr rot="-60000" vert="horz"/>
          <a:lstStyle/>
          <a:p>
            <a:pPr>
              <a:defRPr/>
            </a:pPr>
            <a:endParaRPr lang="ar-SA"/>
          </a:p>
        </c:txPr>
        <c:crossAx val="141347456"/>
        <c:crosses val="autoZero"/>
        <c:crossBetween val="between"/>
        <c:majorUnit val="3000"/>
      </c:valAx>
      <c:spPr>
        <a:noFill/>
        <a:ln w="12700">
          <a:noFill/>
          <a:prstDash val="solid"/>
        </a:ln>
      </c:spPr>
    </c:plotArea>
    <c:legend>
      <c:legendPos val="r"/>
      <c:layout>
        <c:manualLayout>
          <c:xMode val="edge"/>
          <c:yMode val="edge"/>
          <c:x val="0.12209048998408879"/>
          <c:y val="3.1473894448453089E-2"/>
          <c:w val="0.76500437445319835"/>
          <c:h val="9.6130334305821338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050416133880701"/>
          <c:y val="0.17697275385060854"/>
          <c:w val="0.87354572986069068"/>
          <c:h val="0.69685767926695952"/>
        </c:manualLayout>
      </c:layout>
      <c:lineChart>
        <c:grouping val="standard"/>
        <c:ser>
          <c:idx val="0"/>
          <c:order val="0"/>
          <c:tx>
            <c:strRef>
              <c:f>Sheet1!$A$2</c:f>
              <c:strCache>
                <c:ptCount val="1"/>
                <c:pt idx="0">
                  <c:v>GNDI at current prices</c:v>
                </c:pt>
              </c:strCache>
            </c:strRef>
          </c:tx>
          <c:spPr>
            <a:ln w="12700">
              <a:solidFill>
                <a:srgbClr val="388873"/>
              </a:solidFill>
              <a:prstDash val="solid"/>
            </a:ln>
          </c:spPr>
          <c:marker>
            <c:symbol val="diamond"/>
            <c:size val="4"/>
          </c:marker>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Sheet1!$B$2:$K$2</c:f>
              <c:numCache>
                <c:formatCode>#,##0.0</c:formatCode>
                <c:ptCount val="10"/>
                <c:pt idx="0">
                  <c:v>5281.9</c:v>
                </c:pt>
                <c:pt idx="1">
                  <c:v>6317.2</c:v>
                </c:pt>
                <c:pt idx="2">
                  <c:v>6623.7</c:v>
                </c:pt>
                <c:pt idx="3">
                  <c:v>8305.1</c:v>
                </c:pt>
                <c:pt idx="4">
                  <c:v>10534.4</c:v>
                </c:pt>
                <c:pt idx="5">
                  <c:v>9941.2000000000007</c:v>
                </c:pt>
                <c:pt idx="6">
                  <c:v>11503.2</c:v>
                </c:pt>
                <c:pt idx="7">
                  <c:v>12319.6</c:v>
                </c:pt>
                <c:pt idx="8">
                  <c:v>13887.2</c:v>
                </c:pt>
                <c:pt idx="9">
                  <c:v>14824.9</c:v>
                </c:pt>
              </c:numCache>
            </c:numRef>
          </c:val>
        </c:ser>
        <c:ser>
          <c:idx val="1"/>
          <c:order val="1"/>
          <c:tx>
            <c:strRef>
              <c:f>Sheet1!$A$3</c:f>
              <c:strCache>
                <c:ptCount val="1"/>
                <c:pt idx="0">
                  <c:v>GNDI at constant prices</c:v>
                </c:pt>
              </c:strCache>
            </c:strRef>
          </c:tx>
          <c:spPr>
            <a:ln w="12700">
              <a:solidFill>
                <a:srgbClr val="003399">
                  <a:alpha val="67843"/>
                </a:srgbClr>
              </a:solidFill>
              <a:prstDash val="solid"/>
            </a:ln>
          </c:spPr>
          <c:marker>
            <c:symbol val="square"/>
            <c:size val="4"/>
            <c:spPr>
              <a:solidFill>
                <a:srgbClr val="FF00FF"/>
              </a:solidFill>
              <a:ln>
                <a:solidFill>
                  <a:srgbClr val="FF00FF"/>
                </a:solidFill>
                <a:prstDash val="solid"/>
              </a:ln>
            </c:spPr>
          </c:marker>
          <c:dPt>
            <c:idx val="10"/>
            <c:spPr>
              <a:ln w="19050">
                <a:solidFill>
                  <a:srgbClr val="003399">
                    <a:alpha val="67843"/>
                  </a:srgbClr>
                </a:solidFill>
                <a:prstDash val="solid"/>
              </a:ln>
            </c:spPr>
          </c:dPt>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Sheet1!$B$3:$K$3</c:f>
              <c:numCache>
                <c:formatCode>#,##0.0</c:formatCode>
                <c:ptCount val="10"/>
                <c:pt idx="0">
                  <c:v>5281.8937979952671</c:v>
                </c:pt>
                <c:pt idx="1">
                  <c:v>6225.7474485852945</c:v>
                </c:pt>
                <c:pt idx="2">
                  <c:v>6198.5254715273422</c:v>
                </c:pt>
                <c:pt idx="3">
                  <c:v>7427.811520374582</c:v>
                </c:pt>
                <c:pt idx="4">
                  <c:v>8686.8689315932497</c:v>
                </c:pt>
                <c:pt idx="5">
                  <c:v>8113.1329418687947</c:v>
                </c:pt>
                <c:pt idx="6">
                  <c:v>7776.3474320657988</c:v>
                </c:pt>
                <c:pt idx="7">
                  <c:v>7969.4</c:v>
                </c:pt>
                <c:pt idx="8">
                  <c:v>8853.4</c:v>
                </c:pt>
                <c:pt idx="9">
                  <c:v>8767.1</c:v>
                </c:pt>
              </c:numCache>
            </c:numRef>
          </c:val>
        </c:ser>
        <c:marker val="1"/>
        <c:axId val="124572800"/>
        <c:axId val="124574336"/>
      </c:lineChart>
      <c:catAx>
        <c:axId val="124572800"/>
        <c:scaling>
          <c:orientation val="minMax"/>
        </c:scaling>
        <c:axPos val="b"/>
        <c:numFmt formatCode="General" sourceLinked="1"/>
        <c:tickLblPos val="nextTo"/>
        <c:spPr>
          <a:ln w="3175">
            <a:solidFill>
              <a:srgbClr val="000000"/>
            </a:solidFill>
            <a:prstDash val="solid"/>
          </a:ln>
          <a:effectLst/>
        </c:spPr>
        <c:txPr>
          <a:bodyPr rot="0" vert="horz" anchor="ctr" anchorCtr="0"/>
          <a:lstStyle/>
          <a:p>
            <a:pPr>
              <a:defRPr baseline="0"/>
            </a:pPr>
            <a:endParaRPr lang="ar-SA"/>
          </a:p>
        </c:txPr>
        <c:crossAx val="124574336"/>
        <c:crosses val="autoZero"/>
        <c:auto val="1"/>
        <c:lblAlgn val="ctr"/>
        <c:lblOffset val="50"/>
        <c:tickLblSkip val="1"/>
        <c:tickMarkSkip val="1"/>
      </c:catAx>
      <c:valAx>
        <c:axId val="124574336"/>
        <c:scaling>
          <c:orientation val="minMax"/>
          <c:max val="15000"/>
          <c:min val="0"/>
        </c:scaling>
        <c:axPos val="l"/>
        <c:majorGridlines>
          <c:spPr>
            <a:ln w="3175">
              <a:solidFill>
                <a:schemeClr val="bg1">
                  <a:lumMod val="85000"/>
                </a:schemeClr>
              </a:solidFill>
              <a:prstDash val="solid"/>
            </a:ln>
          </c:spPr>
        </c:majorGridlines>
        <c:numFmt formatCode="#,##0" sourceLinked="0"/>
        <c:tickLblPos val="nextTo"/>
        <c:spPr>
          <a:ln w="3175">
            <a:solidFill>
              <a:srgbClr val="000000"/>
            </a:solidFill>
            <a:prstDash val="solid"/>
          </a:ln>
        </c:spPr>
        <c:txPr>
          <a:bodyPr rot="-60000" vert="horz"/>
          <a:lstStyle/>
          <a:p>
            <a:pPr>
              <a:defRPr baseline="0"/>
            </a:pPr>
            <a:endParaRPr lang="ar-SA"/>
          </a:p>
        </c:txPr>
        <c:crossAx val="124572800"/>
        <c:crosses val="autoZero"/>
        <c:crossBetween val="between"/>
        <c:majorUnit val="3000"/>
      </c:valAx>
      <c:spPr>
        <a:noFill/>
        <a:ln w="12700">
          <a:noFill/>
          <a:prstDash val="solid"/>
        </a:ln>
      </c:spPr>
    </c:plotArea>
    <c:legend>
      <c:legendPos val="r"/>
      <c:legendEntry>
        <c:idx val="0"/>
        <c:txPr>
          <a:bodyPr/>
          <a:lstStyle/>
          <a:p>
            <a:pPr rtl="1">
              <a:defRPr/>
            </a:pPr>
            <a:endParaRPr lang="ar-SA"/>
          </a:p>
        </c:txPr>
      </c:legendEntry>
      <c:legendEntry>
        <c:idx val="1"/>
        <c:txPr>
          <a:bodyPr/>
          <a:lstStyle/>
          <a:p>
            <a:pPr rtl="1">
              <a:defRPr/>
            </a:pPr>
            <a:endParaRPr lang="ar-SA"/>
          </a:p>
        </c:txPr>
      </c:legendEntry>
      <c:layout>
        <c:manualLayout>
          <c:xMode val="edge"/>
          <c:yMode val="edge"/>
          <c:x val="0.16845514277158324"/>
          <c:y val="4.1844555907379746E-2"/>
          <c:w val="0.7868674804911131"/>
          <c:h val="9.0800198017952707E-2"/>
        </c:manualLayout>
      </c:layout>
      <c:spPr>
        <a:noFill/>
        <a:ln w="3175">
          <a:solidFill>
            <a:srgbClr val="000000"/>
          </a:solidFill>
          <a:prstDash val="solid"/>
        </a:ln>
      </c:spPr>
      <c:txPr>
        <a:bodyPr/>
        <a:lstStyle/>
        <a:p>
          <a:pPr rtl="1">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a:pPr>
            <a:r>
              <a:rPr lang="en-US" sz="900"/>
              <a:t>Demand</a:t>
            </a:r>
          </a:p>
        </c:rich>
      </c:tx>
      <c:layout/>
    </c:title>
    <c:view3D>
      <c:perspective val="0"/>
    </c:view3D>
    <c:plotArea>
      <c:layout/>
      <c:pie3DChart>
        <c:varyColors val="1"/>
        <c:ser>
          <c:idx val="0"/>
          <c:order val="0"/>
          <c:dLbls>
            <c:dLbl>
              <c:idx val="0"/>
              <c:layout>
                <c:manualLayout>
                  <c:x val="-0.14077245311223513"/>
                  <c:y val="-0.19526006719977124"/>
                </c:manualLayout>
              </c:layout>
              <c:tx>
                <c:rich>
                  <a:bodyPr/>
                  <a:lstStyle/>
                  <a:p>
                    <a:r>
                      <a:rPr lang="en-US" sz="850"/>
                      <a:t>Intermedi-ate Consump-tion</a:t>
                    </a:r>
                  </a:p>
                  <a:p>
                    <a:r>
                      <a:rPr lang="en-US"/>
                      <a:t>27%</a:t>
                    </a:r>
                  </a:p>
                </c:rich>
              </c:tx>
              <c:showVal val="1"/>
              <c:showCatName val="1"/>
            </c:dLbl>
            <c:dLbl>
              <c:idx val="1"/>
              <c:layout>
                <c:manualLayout>
                  <c:x val="0.18982774504180355"/>
                  <c:y val="5.3732446868265983E-2"/>
                </c:manualLayout>
              </c:layout>
              <c:tx>
                <c:rich>
                  <a:bodyPr/>
                  <a:lstStyle/>
                  <a:p>
                    <a:r>
                      <a:rPr lang="en-US" sz="850"/>
                      <a:t>F</a:t>
                    </a:r>
                    <a:r>
                      <a:rPr lang="en-US"/>
                      <a:t>inal consumpt-ion</a:t>
                    </a:r>
                  </a:p>
                  <a:p>
                    <a:r>
                      <a:rPr lang="en-US"/>
                      <a:t>55%</a:t>
                    </a:r>
                  </a:p>
                </c:rich>
              </c:tx>
              <c:showCatName val="1"/>
            </c:dLbl>
            <c:dLbl>
              <c:idx val="2"/>
              <c:layout/>
              <c:tx>
                <c:rich>
                  <a:bodyPr/>
                  <a:lstStyle/>
                  <a:p>
                    <a:r>
                      <a:rPr lang="en-US" sz="850"/>
                      <a:t>G</a:t>
                    </a:r>
                    <a:r>
                      <a:rPr lang="en-US"/>
                      <a:t>ross Capital Formation</a:t>
                    </a:r>
                  </a:p>
                  <a:p>
                    <a:r>
                      <a:rPr lang="en-US"/>
                      <a:t>10%</a:t>
                    </a:r>
                  </a:p>
                </c:rich>
              </c:tx>
              <c:showCatName val="1"/>
            </c:dLbl>
            <c:dLbl>
              <c:idx val="3"/>
              <c:layout>
                <c:manualLayout>
                  <c:x val="5.9698597277989304E-2"/>
                  <c:y val="-0.15911067536791371"/>
                </c:manualLayout>
              </c:layout>
              <c:tx>
                <c:rich>
                  <a:bodyPr/>
                  <a:lstStyle/>
                  <a:p>
                    <a:r>
                      <a:rPr lang="en-US"/>
                      <a:t>Exports 8%</a:t>
                    </a:r>
                  </a:p>
                </c:rich>
              </c:tx>
              <c:showCatName val="1"/>
            </c:dLbl>
            <c:txPr>
              <a:bodyPr/>
              <a:lstStyle/>
              <a:p>
                <a:pPr>
                  <a:defRPr sz="850"/>
                </a:pPr>
                <a:endParaRPr lang="ar-SA"/>
              </a:p>
            </c:txPr>
            <c:showCatName val="1"/>
            <c:showLeaderLines val="1"/>
          </c:dLbls>
          <c:val>
            <c:numRef>
              <c:f>Sheet1!$C$6:$C$9</c:f>
              <c:numCache>
                <c:formatCode>0.0%</c:formatCode>
                <c:ptCount val="4"/>
                <c:pt idx="0">
                  <c:v>0.27121802601388778</c:v>
                </c:pt>
                <c:pt idx="1">
                  <c:v>0.54813249619166049</c:v>
                </c:pt>
                <c:pt idx="2">
                  <c:v>0.1023356555068777</c:v>
                </c:pt>
                <c:pt idx="3">
                  <c:v>7.8313822287574053E-2</c:v>
                </c:pt>
              </c:numCache>
            </c:numRef>
          </c:val>
        </c:ser>
        <c:dLbls>
          <c:showCatName val="1"/>
        </c:dLbls>
      </c:pie3DChart>
    </c:plotArea>
    <c:plotVisOnly val="1"/>
    <c:dispBlanksAs val="zero"/>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a:pPr>
            <a:r>
              <a:rPr lang="en-US" sz="900" b="1"/>
              <a:t>Supply</a:t>
            </a:r>
            <a:endParaRPr lang="ar-SA" sz="900" b="1"/>
          </a:p>
        </c:rich>
      </c:tx>
      <c:layout>
        <c:manualLayout>
          <c:xMode val="edge"/>
          <c:yMode val="edge"/>
          <c:x val="0.40067989656274638"/>
          <c:y val="2.0161142647866691E-2"/>
        </c:manualLayout>
      </c:layout>
      <c:spPr>
        <a:noFill/>
        <a:ln w="25401">
          <a:noFill/>
        </a:ln>
      </c:spPr>
    </c:title>
    <c:view3D>
      <c:perspective val="0"/>
    </c:view3D>
    <c:plotArea>
      <c:layout>
        <c:manualLayout>
          <c:layoutTarget val="inner"/>
          <c:xMode val="edge"/>
          <c:yMode val="edge"/>
          <c:x val="0.16607773851590121"/>
          <c:y val="0.31451612903228227"/>
          <c:w val="0.69257950530035339"/>
          <c:h val="0.31451612903228227"/>
        </c:manualLayout>
      </c:layout>
      <c:pie3DChart>
        <c:varyColors val="1"/>
        <c:ser>
          <c:idx val="0"/>
          <c:order val="0"/>
          <c:spPr>
            <a:ln w="12700">
              <a:solidFill>
                <a:srgbClr val="000000"/>
              </a:solidFill>
              <a:prstDash val="solid"/>
            </a:ln>
          </c:spPr>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Lbls>
            <c:dLbl>
              <c:idx val="0"/>
              <c:layout>
                <c:manualLayout>
                  <c:x val="-6.7125354718114108E-2"/>
                  <c:y val="0.10493072086919369"/>
                </c:manualLayout>
              </c:layout>
              <c:tx>
                <c:rich>
                  <a:bodyPr/>
                  <a:lstStyle/>
                  <a:p>
                    <a:r>
                      <a:rPr lang="en-US"/>
                      <a:t>Output
74%</a:t>
                    </a:r>
                  </a:p>
                </c:rich>
              </c:tx>
              <c:dLblPos val="bestFit"/>
              <c:showCatName val="1"/>
              <c:showPercent val="1"/>
            </c:dLbl>
            <c:dLbl>
              <c:idx val="1"/>
              <c:layout>
                <c:manualLayout>
                  <c:x val="4.6674608478368251E-3"/>
                  <c:y val="-0.16136442247044699"/>
                </c:manualLayout>
              </c:layout>
              <c:tx>
                <c:rich>
                  <a:bodyPr/>
                  <a:lstStyle/>
                  <a:p>
                    <a:r>
                      <a:rPr lang="en-US"/>
                      <a:t>Imports
26%</a:t>
                    </a:r>
                  </a:p>
                </c:rich>
              </c:tx>
              <c:dLblPos val="bestFit"/>
              <c:showCatName val="1"/>
              <c:showPercent val="1"/>
            </c:dLbl>
            <c:numFmt formatCode="0%" sourceLinked="0"/>
            <c:spPr>
              <a:noFill/>
              <a:ln w="25401">
                <a:noFill/>
              </a:ln>
            </c:spPr>
            <c:txPr>
              <a:bodyPr/>
              <a:lstStyle/>
              <a:p>
                <a:pPr algn="ctr" rtl="1">
                  <a:defRPr/>
                </a:pPr>
                <a:endParaRPr lang="ar-SA"/>
              </a:p>
            </c:txPr>
            <c:dLblPos val="bestFit"/>
            <c:showCatName val="1"/>
            <c:showPercent val="1"/>
            <c:showLeaderLines val="1"/>
          </c:dLbls>
          <c:cat>
            <c:strRef>
              <c:f>Sheet1!$A$2:$A$3</c:f>
              <c:strCache>
                <c:ptCount val="2"/>
                <c:pt idx="0">
                  <c:v>Output</c:v>
                </c:pt>
                <c:pt idx="1">
                  <c:v>Imports</c:v>
                </c:pt>
              </c:strCache>
            </c:strRef>
          </c:cat>
          <c:val>
            <c:numRef>
              <c:f>Sheet1!$C$2:$C$3</c:f>
              <c:numCache>
                <c:formatCode>0.0%</c:formatCode>
                <c:ptCount val="2"/>
                <c:pt idx="0">
                  <c:v>0.74280951498955095</c:v>
                </c:pt>
                <c:pt idx="1">
                  <c:v>0.25719048501045255</c:v>
                </c:pt>
              </c:numCache>
            </c:numRef>
          </c:val>
        </c:ser>
      </c:pie3DChart>
      <c:spPr>
        <a:noFill/>
        <a:ln w="25401">
          <a:noFill/>
        </a:ln>
      </c:spPr>
    </c:plotArea>
    <c:plotVisOnly val="1"/>
    <c:dispBlanksAs val="zero"/>
  </c:chart>
  <c:spPr>
    <a:solidFill>
      <a:srgbClr val="FFFFFF"/>
    </a:solid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24933121669675E-2"/>
          <c:y val="0.15074036270527977"/>
          <c:w val="0.86849073891586814"/>
          <c:h val="0.73041780888500052"/>
        </c:manualLayout>
      </c:layout>
      <c:lineChart>
        <c:grouping val="standard"/>
        <c:ser>
          <c:idx val="0"/>
          <c:order val="0"/>
          <c:tx>
            <c:strRef>
              <c:f>Sheet1!$A$2</c:f>
              <c:strCache>
                <c:ptCount val="1"/>
                <c:pt idx="0">
                  <c:v>GDP Per Capita</c:v>
                </c:pt>
              </c:strCache>
            </c:strRef>
          </c:tx>
          <c:spPr>
            <a:ln w="12700">
              <a:solidFill>
                <a:srgbClr val="000080"/>
              </a:solidFill>
              <a:prstDash val="solid"/>
            </a:ln>
          </c:spPr>
          <c:marker>
            <c:symbol val="x"/>
            <c:size val="5"/>
            <c:spPr>
              <a:solidFill>
                <a:srgbClr val="000080"/>
              </a:solidFill>
              <a:ln>
                <a:solidFill>
                  <a:srgbClr val="000080"/>
                </a:solidFill>
                <a:prstDash val="solid"/>
              </a:ln>
            </c:spPr>
          </c:marker>
          <c:dPt>
            <c:idx val="2"/>
            <c:marker>
              <c:symbol val="plus"/>
              <c:size val="5"/>
            </c:marker>
            <c:spPr>
              <a:ln w="12700">
                <a:solidFill>
                  <a:srgbClr val="000080"/>
                </a:solidFill>
                <a:prstDash val="solid"/>
              </a:ln>
            </c:spPr>
          </c:dPt>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Sheet1!$B$2:$K$2</c:f>
              <c:numCache>
                <c:formatCode>#,##0.00</c:formatCode>
                <c:ptCount val="10"/>
                <c:pt idx="0">
                  <c:v>1358.1</c:v>
                </c:pt>
                <c:pt idx="1">
                  <c:v>1459.4</c:v>
                </c:pt>
                <c:pt idx="2">
                  <c:v>1360.1</c:v>
                </c:pt>
                <c:pt idx="3">
                  <c:v>1406</c:v>
                </c:pt>
                <c:pt idx="4">
                  <c:v>1449.1</c:v>
                </c:pt>
                <c:pt idx="5">
                  <c:v>1529.8</c:v>
                </c:pt>
                <c:pt idx="6">
                  <c:v>1606.4</c:v>
                </c:pt>
                <c:pt idx="7">
                  <c:v>1752.5</c:v>
                </c:pt>
                <c:pt idx="8">
                  <c:v>1807.5</c:v>
                </c:pt>
                <c:pt idx="9">
                  <c:v>1793.3</c:v>
                </c:pt>
              </c:numCache>
            </c:numRef>
          </c:val>
        </c:ser>
        <c:ser>
          <c:idx val="1"/>
          <c:order val="1"/>
          <c:tx>
            <c:strRef>
              <c:f>Sheet1!$A$3</c:f>
              <c:strCache>
                <c:ptCount val="1"/>
                <c:pt idx="0">
                  <c:v>GNI Per Capita</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Sheet1!$B$3:$K$3</c:f>
              <c:numCache>
                <c:formatCode>#,##0.00</c:formatCode>
                <c:ptCount val="10"/>
                <c:pt idx="0">
                  <c:v>1429.6</c:v>
                </c:pt>
                <c:pt idx="1">
                  <c:v>1559.5</c:v>
                </c:pt>
                <c:pt idx="2">
                  <c:v>1476</c:v>
                </c:pt>
                <c:pt idx="3">
                  <c:v>1538.1</c:v>
                </c:pt>
                <c:pt idx="4">
                  <c:v>1605</c:v>
                </c:pt>
                <c:pt idx="5">
                  <c:v>1656.7</c:v>
                </c:pt>
                <c:pt idx="6">
                  <c:v>1702.1</c:v>
                </c:pt>
                <c:pt idx="7">
                  <c:v>1858.7</c:v>
                </c:pt>
                <c:pt idx="8">
                  <c:v>1925.3</c:v>
                </c:pt>
                <c:pt idx="9">
                  <c:v>1935.1</c:v>
                </c:pt>
              </c:numCache>
            </c:numRef>
          </c:val>
        </c:ser>
        <c:ser>
          <c:idx val="2"/>
          <c:order val="2"/>
          <c:tx>
            <c:strRef>
              <c:f>Sheet1!$A$4</c:f>
              <c:strCache>
                <c:ptCount val="1"/>
                <c:pt idx="0">
                  <c:v>GNDI Per Capita</c:v>
                </c:pt>
              </c:strCache>
            </c:strRef>
          </c:tx>
          <c:spPr>
            <a:ln w="12700">
              <a:solidFill>
                <a:srgbClr val="339966"/>
              </a:solidFill>
              <a:prstDash val="solid"/>
            </a:ln>
          </c:spPr>
          <c:marker>
            <c:symbol val="triangle"/>
            <c:size val="5"/>
            <c:spPr>
              <a:solidFill>
                <a:srgbClr val="339966"/>
              </a:solidFill>
              <a:ln>
                <a:solidFill>
                  <a:srgbClr val="339966"/>
                </a:solidFill>
                <a:prstDash val="solid"/>
              </a:ln>
            </c:spPr>
          </c:marker>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Sheet1!$B$4:$K$4</c:f>
              <c:numCache>
                <c:formatCode>#,##0.00</c:formatCode>
                <c:ptCount val="10"/>
                <c:pt idx="0">
                  <c:v>1656.9</c:v>
                </c:pt>
                <c:pt idx="1">
                  <c:v>1894.2</c:v>
                </c:pt>
                <c:pt idx="2">
                  <c:v>1829</c:v>
                </c:pt>
                <c:pt idx="3">
                  <c:v>2125.6</c:v>
                </c:pt>
                <c:pt idx="4">
                  <c:v>2415.1999999999998</c:v>
                </c:pt>
                <c:pt idx="5">
                  <c:v>2191.4</c:v>
                </c:pt>
                <c:pt idx="6">
                  <c:v>2040.4</c:v>
                </c:pt>
                <c:pt idx="7">
                  <c:v>2029.4</c:v>
                </c:pt>
                <c:pt idx="8">
                  <c:v>2187.6999999999998</c:v>
                </c:pt>
                <c:pt idx="9">
                  <c:v>2102.6999999999998</c:v>
                </c:pt>
              </c:numCache>
            </c:numRef>
          </c:val>
        </c:ser>
        <c:marker val="1"/>
        <c:axId val="153749376"/>
        <c:axId val="153772032"/>
      </c:lineChart>
      <c:catAx>
        <c:axId val="153749376"/>
        <c:scaling>
          <c:orientation val="minMax"/>
        </c:scaling>
        <c:axPos val="b"/>
        <c:numFmt formatCode="General" sourceLinked="1"/>
        <c:tickLblPos val="nextTo"/>
        <c:spPr>
          <a:ln w="3175">
            <a:solidFill>
              <a:srgbClr val="000000"/>
            </a:solidFill>
            <a:prstDash val="solid"/>
          </a:ln>
        </c:spPr>
        <c:txPr>
          <a:bodyPr rot="0" vert="horz"/>
          <a:lstStyle/>
          <a:p>
            <a:pPr>
              <a:defRPr baseline="0"/>
            </a:pPr>
            <a:endParaRPr lang="ar-SA"/>
          </a:p>
        </c:txPr>
        <c:crossAx val="153772032"/>
        <c:crosses val="autoZero"/>
        <c:auto val="1"/>
        <c:lblAlgn val="ctr"/>
        <c:lblOffset val="100"/>
        <c:tickLblSkip val="1"/>
        <c:tickMarkSkip val="1"/>
      </c:catAx>
      <c:valAx>
        <c:axId val="153772032"/>
        <c:scaling>
          <c:orientation val="minMax"/>
          <c:min val="0"/>
        </c:scaling>
        <c:axPos val="l"/>
        <c:majorGridlines>
          <c:spPr>
            <a:ln w="3175">
              <a:solidFill>
                <a:schemeClr val="bg1">
                  <a:lumMod val="75000"/>
                </a:schemeClr>
              </a:solidFill>
              <a:prstDash val="solid"/>
              <a:round/>
            </a:ln>
          </c:spPr>
        </c:majorGridlines>
        <c:numFmt formatCode="#,##0" sourceLinked="0"/>
        <c:tickLblPos val="nextTo"/>
        <c:spPr>
          <a:ln w="3175">
            <a:solidFill>
              <a:srgbClr val="000000"/>
            </a:solidFill>
            <a:prstDash val="solid"/>
          </a:ln>
        </c:spPr>
        <c:txPr>
          <a:bodyPr rot="0" vert="horz"/>
          <a:lstStyle/>
          <a:p>
            <a:pPr>
              <a:defRPr baseline="0"/>
            </a:pPr>
            <a:endParaRPr lang="ar-SA"/>
          </a:p>
        </c:txPr>
        <c:crossAx val="153749376"/>
        <c:crosses val="autoZero"/>
        <c:crossBetween val="between"/>
        <c:majorUnit val="1000"/>
      </c:valAx>
      <c:spPr>
        <a:ln w="12700">
          <a:noFill/>
          <a:prstDash val="solid"/>
        </a:ln>
      </c:spPr>
    </c:plotArea>
    <c:legend>
      <c:legendPos val="r"/>
      <c:layout>
        <c:manualLayout>
          <c:xMode val="edge"/>
          <c:yMode val="edge"/>
          <c:x val="0.10827704388191209"/>
          <c:y val="2.2432195975503257E-2"/>
          <c:w val="0.8240159649465304"/>
          <c:h val="9.4752989209682739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24933121669675E-2"/>
          <c:y val="0.15074036270527957"/>
          <c:w val="0.86849073891586814"/>
          <c:h val="0.80313278758220719"/>
        </c:manualLayout>
      </c:layout>
      <c:lineChart>
        <c:grouping val="standard"/>
        <c:ser>
          <c:idx val="0"/>
          <c:order val="0"/>
          <c:tx>
            <c:strRef>
              <c:f>Sheet1!$A$2</c:f>
              <c:strCache>
                <c:ptCount val="1"/>
                <c:pt idx="0">
                  <c:v>Final consumption</c:v>
                </c:pt>
              </c:strCache>
            </c:strRef>
          </c:tx>
          <c:spPr>
            <a:ln w="12700">
              <a:solidFill>
                <a:srgbClr val="000080"/>
              </a:solidFill>
              <a:prstDash val="solid"/>
            </a:ln>
          </c:spPr>
          <c:marker>
            <c:symbol val="x"/>
            <c:size val="5"/>
            <c:spPr>
              <a:solidFill>
                <a:srgbClr val="000080"/>
              </a:solidFill>
              <a:ln>
                <a:solidFill>
                  <a:srgbClr val="000080"/>
                </a:solidFill>
                <a:prstDash val="solid"/>
              </a:ln>
            </c:spPr>
          </c:marker>
          <c:dPt>
            <c:idx val="2"/>
            <c:marker>
              <c:symbol val="plus"/>
              <c:size val="5"/>
            </c:marker>
            <c:spPr>
              <a:ln w="12700">
                <a:solidFill>
                  <a:srgbClr val="000080"/>
                </a:solidFill>
                <a:prstDash val="solid"/>
              </a:ln>
            </c:spPr>
          </c:dPt>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Sheet1!$B$2:$K$2</c:f>
              <c:numCache>
                <c:formatCode>#,##0.00</c:formatCode>
                <c:ptCount val="10"/>
                <c:pt idx="0">
                  <c:v>5672.2</c:v>
                </c:pt>
                <c:pt idx="1">
                  <c:v>6340.2</c:v>
                </c:pt>
                <c:pt idx="2">
                  <c:v>6149.7</c:v>
                </c:pt>
                <c:pt idx="3">
                  <c:v>6520.2</c:v>
                </c:pt>
                <c:pt idx="4">
                  <c:v>6602.9</c:v>
                </c:pt>
                <c:pt idx="5">
                  <c:v>7059.5</c:v>
                </c:pt>
                <c:pt idx="6">
                  <c:v>7320.6</c:v>
                </c:pt>
                <c:pt idx="7">
                  <c:v>8045.7</c:v>
                </c:pt>
                <c:pt idx="8">
                  <c:v>8822.2000000000007</c:v>
                </c:pt>
                <c:pt idx="9">
                  <c:v>8516.4</c:v>
                </c:pt>
              </c:numCache>
            </c:numRef>
          </c:val>
        </c:ser>
        <c:ser>
          <c:idx val="1"/>
          <c:order val="1"/>
          <c:tx>
            <c:strRef>
              <c:f>Sheet1!$A$3</c:f>
              <c:strCache>
                <c:ptCount val="1"/>
                <c:pt idx="0">
                  <c:v>Gross capital formation</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Sheet1!$B$3:$K$3</c:f>
              <c:numCache>
                <c:formatCode>#,##0.00</c:formatCode>
                <c:ptCount val="10"/>
                <c:pt idx="0">
                  <c:v>1151.5</c:v>
                </c:pt>
                <c:pt idx="1">
                  <c:v>1234</c:v>
                </c:pt>
                <c:pt idx="2">
                  <c:v>1138.3</c:v>
                </c:pt>
                <c:pt idx="3">
                  <c:v>888.5</c:v>
                </c:pt>
                <c:pt idx="4">
                  <c:v>1199.4000000000001</c:v>
                </c:pt>
                <c:pt idx="5">
                  <c:v>1393.1</c:v>
                </c:pt>
                <c:pt idx="6">
                  <c:v>1354.9</c:v>
                </c:pt>
                <c:pt idx="7">
                  <c:v>1326</c:v>
                </c:pt>
                <c:pt idx="8">
                  <c:v>1578.1</c:v>
                </c:pt>
                <c:pt idx="9">
                  <c:v>1644.1</c:v>
                </c:pt>
              </c:numCache>
            </c:numRef>
          </c:val>
        </c:ser>
        <c:ser>
          <c:idx val="2"/>
          <c:order val="2"/>
          <c:tx>
            <c:strRef>
              <c:f>Sheet1!$A$4</c:f>
              <c:strCache>
                <c:ptCount val="1"/>
                <c:pt idx="0">
                  <c:v>Net exports of goods and services</c:v>
                </c:pt>
              </c:strCache>
            </c:strRef>
          </c:tx>
          <c:spPr>
            <a:ln w="12700">
              <a:solidFill>
                <a:srgbClr val="339966"/>
              </a:solidFill>
              <a:prstDash val="solid"/>
            </a:ln>
          </c:spPr>
          <c:marker>
            <c:symbol val="triangle"/>
            <c:size val="5"/>
            <c:spPr>
              <a:solidFill>
                <a:srgbClr val="339966"/>
              </a:solidFill>
              <a:ln>
                <a:solidFill>
                  <a:srgbClr val="339966"/>
                </a:solidFill>
                <a:prstDash val="solid"/>
              </a:ln>
            </c:spPr>
          </c:marker>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Sheet1!$B$4:$K$4</c:f>
              <c:numCache>
                <c:formatCode>#,##0.00</c:formatCode>
                <c:ptCount val="10"/>
                <c:pt idx="0">
                  <c:v>-2540.6</c:v>
                </c:pt>
                <c:pt idx="1">
                  <c:v>-2792</c:v>
                </c:pt>
                <c:pt idx="2">
                  <c:v>-2687.6</c:v>
                </c:pt>
                <c:pt idx="3">
                  <c:v>-2493.3000000000002</c:v>
                </c:pt>
                <c:pt idx="4">
                  <c:v>-2545</c:v>
                </c:pt>
                <c:pt idx="5">
                  <c:v>-2792.6</c:v>
                </c:pt>
                <c:pt idx="6">
                  <c:v>-2523</c:v>
                </c:pt>
                <c:pt idx="7">
                  <c:v>-2530.5</c:v>
                </c:pt>
                <c:pt idx="8">
                  <c:v>-3084.9</c:v>
                </c:pt>
                <c:pt idx="9">
                  <c:v>-2725.9</c:v>
                </c:pt>
              </c:numCache>
            </c:numRef>
          </c:val>
        </c:ser>
        <c:marker val="1"/>
        <c:axId val="153854720"/>
        <c:axId val="153856640"/>
      </c:lineChart>
      <c:catAx>
        <c:axId val="153854720"/>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153856640"/>
        <c:crosses val="autoZero"/>
        <c:auto val="1"/>
        <c:lblAlgn val="ctr"/>
        <c:lblOffset val="100"/>
        <c:tickLblSkip val="1"/>
        <c:tickMarkSkip val="1"/>
      </c:catAx>
      <c:valAx>
        <c:axId val="153856640"/>
        <c:scaling>
          <c:orientation val="minMax"/>
        </c:scaling>
        <c:axPos val="l"/>
        <c:majorGridlines>
          <c:spPr>
            <a:ln w="3175">
              <a:solidFill>
                <a:schemeClr val="bg1">
                  <a:lumMod val="75000"/>
                </a:schemeClr>
              </a:solidFill>
              <a:prstDash val="solid"/>
            </a:ln>
          </c:spPr>
        </c:majorGridlines>
        <c:numFmt formatCode="#,##0" sourceLinked="0"/>
        <c:tickLblPos val="nextTo"/>
        <c:spPr>
          <a:ln w="3175">
            <a:solidFill>
              <a:srgbClr val="000000"/>
            </a:solidFill>
            <a:prstDash val="solid"/>
          </a:ln>
        </c:spPr>
        <c:txPr>
          <a:bodyPr rot="0" vert="horz"/>
          <a:lstStyle/>
          <a:p>
            <a:pPr>
              <a:defRPr/>
            </a:pPr>
            <a:endParaRPr lang="ar-SA"/>
          </a:p>
        </c:txPr>
        <c:crossAx val="153854720"/>
        <c:crosses val="autoZero"/>
        <c:crossBetween val="between"/>
        <c:majorUnit val="1000"/>
      </c:valAx>
      <c:spPr>
        <a:ln w="12700">
          <a:noFill/>
          <a:prstDash val="solid"/>
          <a:round/>
        </a:ln>
      </c:spPr>
    </c:plotArea>
    <c:legend>
      <c:legendPos val="r"/>
      <c:layout>
        <c:manualLayout>
          <c:xMode val="edge"/>
          <c:yMode val="edge"/>
          <c:x val="4.6569029926458234E-2"/>
          <c:y val="2.2432376915397706E-2"/>
          <c:w val="0.91878172588832452"/>
          <c:h val="7.5000000000000039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plotArea>
      <c:layout/>
      <c:pieChart>
        <c:varyColors val="1"/>
        <c:ser>
          <c:idx val="0"/>
          <c:order val="0"/>
          <c:dPt>
            <c:idx val="0"/>
            <c:spPr>
              <a:solidFill>
                <a:srgbClr val="92D050"/>
              </a:solidFill>
            </c:spPr>
          </c:dPt>
          <c:dPt>
            <c:idx val="1"/>
            <c:spPr>
              <a:solidFill>
                <a:schemeClr val="accent5">
                  <a:lumMod val="75000"/>
                </a:schemeClr>
              </a:solidFill>
            </c:spPr>
          </c:dPt>
          <c:dPt>
            <c:idx val="2"/>
            <c:spPr>
              <a:solidFill>
                <a:schemeClr val="accent4">
                  <a:lumMod val="75000"/>
                </a:schemeClr>
              </a:solidFill>
            </c:spPr>
          </c:dPt>
          <c:dPt>
            <c:idx val="3"/>
            <c:spPr>
              <a:solidFill>
                <a:srgbClr val="002060"/>
              </a:solidFill>
            </c:spPr>
          </c:dPt>
          <c:dPt>
            <c:idx val="4"/>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effectLst>
                <a:outerShdw blurRad="50800" dist="50800" dir="5400000" algn="ctr" rotWithShape="0">
                  <a:schemeClr val="bg1"/>
                </a:outerShdw>
              </a:effectLst>
            </c:spPr>
          </c:dPt>
          <c:dLbls>
            <c:dLbl>
              <c:idx val="0"/>
              <c:layout>
                <c:manualLayout>
                  <c:x val="4.8504155730533675E-2"/>
                  <c:y val="4.0985345581802245E-2"/>
                </c:manualLayout>
              </c:layout>
              <c:tx>
                <c:rich>
                  <a:bodyPr/>
                  <a:lstStyle/>
                  <a:p>
                    <a:r>
                      <a:rPr lang="en-US"/>
                      <a:t>Household sector 26%</a:t>
                    </a:r>
                  </a:p>
                </c:rich>
              </c:tx>
              <c:showVal val="1"/>
            </c:dLbl>
            <c:dLbl>
              <c:idx val="1"/>
              <c:layout>
                <c:manualLayout>
                  <c:x val="5.8696194225722524E-2"/>
                  <c:y val="3.6275153105862269E-3"/>
                </c:manualLayout>
              </c:layout>
              <c:tx>
                <c:rich>
                  <a:bodyPr/>
                  <a:lstStyle/>
                  <a:p>
                    <a:pPr>
                      <a:defRPr/>
                    </a:pPr>
                    <a:r>
                      <a:rPr lang="en-US"/>
                      <a:t>NPISH 6%</a:t>
                    </a:r>
                  </a:p>
                </c:rich>
              </c:tx>
              <c:spPr>
                <a:solidFill>
                  <a:schemeClr val="bg1"/>
                </a:solidFill>
              </c:spPr>
              <c:showVal val="1"/>
            </c:dLbl>
            <c:dLbl>
              <c:idx val="2"/>
              <c:layout>
                <c:manualLayout>
                  <c:x val="3.4769356955380575E-2"/>
                  <c:y val="-4.4809346748323126E-2"/>
                </c:manualLayout>
              </c:layout>
              <c:tx>
                <c:rich>
                  <a:bodyPr/>
                  <a:lstStyle/>
                  <a:p>
                    <a:r>
                      <a:rPr lang="en-US"/>
                      <a:t>Government</a:t>
                    </a:r>
                    <a:r>
                      <a:rPr lang="en-US" baseline="0"/>
                      <a:t> sector </a:t>
                    </a:r>
                    <a:r>
                      <a:rPr lang="en-US"/>
                      <a:t>23%</a:t>
                    </a:r>
                  </a:p>
                </c:rich>
              </c:tx>
              <c:showVal val="1"/>
            </c:dLbl>
            <c:dLbl>
              <c:idx val="3"/>
              <c:layout/>
              <c:tx>
                <c:rich>
                  <a:bodyPr/>
                  <a:lstStyle/>
                  <a:p>
                    <a:r>
                      <a:rPr lang="en-US"/>
                      <a:t>Financial enterprises</a:t>
                    </a:r>
                    <a:r>
                      <a:rPr lang="en-US" baseline="0"/>
                      <a:t> </a:t>
                    </a:r>
                    <a:r>
                      <a:rPr lang="en-US"/>
                      <a:t>3%</a:t>
                    </a:r>
                  </a:p>
                </c:rich>
              </c:tx>
              <c:showVal val="1"/>
            </c:dLbl>
            <c:dLbl>
              <c:idx val="4"/>
              <c:layout>
                <c:manualLayout>
                  <c:x val="-2.9874671916010606E-2"/>
                  <c:y val="-0.18590186643336476"/>
                </c:manualLayout>
              </c:layout>
              <c:tx>
                <c:rich>
                  <a:bodyPr/>
                  <a:lstStyle/>
                  <a:p>
                    <a:r>
                      <a:rPr lang="en-US"/>
                      <a:t>Non-financial enterprises sector 42%</a:t>
                    </a:r>
                  </a:p>
                </c:rich>
              </c:tx>
              <c:showVal val="1"/>
            </c:dLbl>
            <c:showVal val="1"/>
            <c:showLeaderLines val="1"/>
          </c:dLbls>
          <c:cat>
            <c:strRef>
              <c:f>Sheet2!$A$2:$A$6</c:f>
              <c:strCache>
                <c:ptCount val="5"/>
                <c:pt idx="0">
                  <c:v>Household sector</c:v>
                </c:pt>
                <c:pt idx="1">
                  <c:v>NPISH sector</c:v>
                </c:pt>
                <c:pt idx="2">
                  <c:v>Government sector</c:v>
                </c:pt>
                <c:pt idx="3">
                  <c:v>Financial enterprises sector</c:v>
                </c:pt>
                <c:pt idx="4">
                  <c:v>Non- financial enterprises sector</c:v>
                </c:pt>
              </c:strCache>
            </c:strRef>
          </c:cat>
          <c:val>
            <c:numRef>
              <c:f>Sheet2!$B$2:$B$6</c:f>
              <c:numCache>
                <c:formatCode>General</c:formatCode>
                <c:ptCount val="5"/>
                <c:pt idx="0">
                  <c:v>21.4</c:v>
                </c:pt>
                <c:pt idx="1">
                  <c:v>5.2</c:v>
                </c:pt>
                <c:pt idx="2">
                  <c:v>22.6</c:v>
                </c:pt>
                <c:pt idx="3">
                  <c:v>3.2</c:v>
                </c:pt>
                <c:pt idx="4">
                  <c:v>47.6</c:v>
                </c:pt>
              </c:numCache>
            </c:numRef>
          </c:val>
        </c:ser>
        <c:firstSliceAng val="360"/>
      </c:pieChart>
    </c:plotArea>
    <c:plotVisOnly val="1"/>
    <c:dispBlanksAs val="zero"/>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5DA7C-D2C1-4CF8-A842-F57C29276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3452</Words>
  <Characters>19677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mrania</cp:lastModifiedBy>
  <cp:revision>5</cp:revision>
  <cp:lastPrinted>2014-12-23T10:17:00Z</cp:lastPrinted>
  <dcterms:created xsi:type="dcterms:W3CDTF">2014-12-23T10:13:00Z</dcterms:created>
  <dcterms:modified xsi:type="dcterms:W3CDTF">2014-12-23T10:20:00Z</dcterms:modified>
</cp:coreProperties>
</file>